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22A9D">
      <w:pPr>
        <w:pStyle w:val="7"/>
        <w:jc w:val="center"/>
        <w:outlineLvl w:val="1"/>
        <w:rPr>
          <w:rFonts w:hint="default"/>
          <w:b/>
          <w:sz w:val="24"/>
          <w:szCs w:val="24"/>
          <w:lang w:eastAsia="zh-CN"/>
        </w:rPr>
      </w:pPr>
      <w:r>
        <w:rPr>
          <w:b/>
          <w:sz w:val="24"/>
          <w:szCs w:val="24"/>
        </w:rPr>
        <w:t>花都区202</w:t>
      </w:r>
      <w:r>
        <w:rPr>
          <w:b/>
          <w:sz w:val="24"/>
          <w:szCs w:val="24"/>
          <w:lang w:eastAsia="zh-CN"/>
        </w:rPr>
        <w:t>6</w:t>
      </w:r>
      <w:r>
        <w:rPr>
          <w:b/>
          <w:sz w:val="24"/>
          <w:szCs w:val="24"/>
        </w:rPr>
        <w:t>-202</w:t>
      </w:r>
      <w:r>
        <w:rPr>
          <w:b/>
          <w:sz w:val="24"/>
          <w:szCs w:val="24"/>
          <w:lang w:eastAsia="zh-CN"/>
        </w:rPr>
        <w:t>7</w:t>
      </w:r>
      <w:r>
        <w:rPr>
          <w:b/>
          <w:sz w:val="24"/>
          <w:szCs w:val="24"/>
        </w:rPr>
        <w:t>年度政府储备用地控制性详细规划调整项目采购需求</w:t>
      </w:r>
      <w:r>
        <w:rPr>
          <w:b/>
          <w:sz w:val="24"/>
          <w:szCs w:val="24"/>
          <w:lang w:eastAsia="zh-CN"/>
        </w:rPr>
        <w:t>书</w:t>
      </w:r>
    </w:p>
    <w:p w14:paraId="6479995B">
      <w:pPr>
        <w:pStyle w:val="7"/>
        <w:jc w:val="center"/>
        <w:outlineLvl w:val="1"/>
        <w:rPr>
          <w:rFonts w:hint="default"/>
          <w:b/>
          <w:sz w:val="24"/>
          <w:szCs w:val="24"/>
        </w:rPr>
      </w:pPr>
    </w:p>
    <w:p w14:paraId="27FD2D79">
      <w:pPr>
        <w:pStyle w:val="7"/>
        <w:outlineLvl w:val="2"/>
        <w:rPr>
          <w:rFonts w:hint="default"/>
          <w:sz w:val="24"/>
          <w:szCs w:val="24"/>
        </w:rPr>
      </w:pPr>
      <w:r>
        <w:rPr>
          <w:b/>
          <w:sz w:val="24"/>
          <w:szCs w:val="24"/>
        </w:rPr>
        <w:t>一、项目概况：</w:t>
      </w:r>
    </w:p>
    <w:p w14:paraId="36C646A3">
      <w:pPr>
        <w:pStyle w:val="7"/>
        <w:rPr>
          <w:rFonts w:hint="default"/>
          <w:sz w:val="24"/>
          <w:szCs w:val="24"/>
        </w:rPr>
      </w:pPr>
      <w:r>
        <w:rPr>
          <w:sz w:val="24"/>
          <w:szCs w:val="24"/>
        </w:rPr>
        <w:t>为深化落实“一区一城一港一湾”产业发展新格局，落实城市发展需要，结合202</w:t>
      </w:r>
      <w:r>
        <w:rPr>
          <w:sz w:val="24"/>
          <w:szCs w:val="24"/>
          <w:lang w:eastAsia="zh-CN"/>
        </w:rPr>
        <w:t>6</w:t>
      </w:r>
      <w:r>
        <w:rPr>
          <w:sz w:val="24"/>
          <w:szCs w:val="24"/>
        </w:rPr>
        <w:t>-202</w:t>
      </w:r>
      <w:r>
        <w:rPr>
          <w:sz w:val="24"/>
          <w:szCs w:val="24"/>
          <w:lang w:eastAsia="zh-CN"/>
        </w:rPr>
        <w:t>7</w:t>
      </w:r>
      <w:r>
        <w:rPr>
          <w:sz w:val="24"/>
          <w:szCs w:val="24"/>
        </w:rPr>
        <w:t>年度花都区土地储备任务，开展202</w:t>
      </w:r>
      <w:r>
        <w:rPr>
          <w:sz w:val="24"/>
          <w:szCs w:val="24"/>
          <w:lang w:eastAsia="zh-CN"/>
        </w:rPr>
        <w:t>6</w:t>
      </w:r>
      <w:r>
        <w:rPr>
          <w:sz w:val="24"/>
          <w:szCs w:val="24"/>
        </w:rPr>
        <w:t>-202</w:t>
      </w:r>
      <w:r>
        <w:rPr>
          <w:sz w:val="24"/>
          <w:szCs w:val="24"/>
          <w:lang w:eastAsia="zh-CN"/>
        </w:rPr>
        <w:t>7</w:t>
      </w:r>
      <w:r>
        <w:rPr>
          <w:sz w:val="24"/>
          <w:szCs w:val="24"/>
        </w:rPr>
        <w:t>年度储备用地控规调整服务工作。</w:t>
      </w:r>
    </w:p>
    <w:p w14:paraId="6F90A039">
      <w:pPr>
        <w:pStyle w:val="7"/>
        <w:rPr>
          <w:rFonts w:hint="default"/>
          <w:sz w:val="24"/>
          <w:szCs w:val="24"/>
        </w:rPr>
      </w:pPr>
      <w:r>
        <w:rPr>
          <w:b/>
          <w:sz w:val="24"/>
          <w:szCs w:val="24"/>
        </w:rPr>
        <w:t>二、其他服务要求</w:t>
      </w:r>
    </w:p>
    <w:p w14:paraId="1A5F8FB7">
      <w:pPr>
        <w:pStyle w:val="7"/>
        <w:ind w:firstLine="480"/>
        <w:rPr>
          <w:rFonts w:hint="default"/>
          <w:sz w:val="24"/>
          <w:szCs w:val="24"/>
        </w:rPr>
      </w:pPr>
      <w:r>
        <w:rPr>
          <w:sz w:val="24"/>
          <w:szCs w:val="24"/>
        </w:rPr>
        <w:t>（一）因项目重要，投标人应对本项目具备充分的解读与理解，相关工作基础掌握了解深刻，制定符合本项目发展需要的项目技术路线、总体工作思路，重点难点分析，工作时间与进度计划，质量保障措施和后期服务，全力配合采购人的工作推进。</w:t>
      </w:r>
    </w:p>
    <w:p w14:paraId="5F190D43">
      <w:pPr>
        <w:pStyle w:val="7"/>
        <w:ind w:firstLine="480"/>
        <w:rPr>
          <w:rFonts w:hint="default"/>
          <w:sz w:val="24"/>
          <w:szCs w:val="24"/>
        </w:rPr>
      </w:pPr>
      <w:r>
        <w:rPr>
          <w:sz w:val="24"/>
          <w:szCs w:val="24"/>
        </w:rPr>
        <w:t>（二）投标人需具有同类型项目经验，</w:t>
      </w:r>
      <w:r>
        <w:rPr>
          <w:sz w:val="24"/>
          <w:szCs w:val="24"/>
          <w:shd w:val="clear" w:color="auto" w:fill="FFFFFF"/>
        </w:rPr>
        <w:t>良好的管理体系、高水平、多专业的技术团队开展技术服务。</w:t>
      </w:r>
      <w:r>
        <w:rPr>
          <w:sz w:val="24"/>
          <w:szCs w:val="24"/>
        </w:rPr>
        <w:t>项目总负责人</w:t>
      </w:r>
      <w:r>
        <w:rPr>
          <w:sz w:val="24"/>
          <w:szCs w:val="24"/>
          <w:shd w:val="clear" w:color="auto" w:fill="FFFFFF"/>
        </w:rPr>
        <w:t>宜具有开展本项目所需</w:t>
      </w:r>
      <w:r>
        <w:rPr>
          <w:sz w:val="24"/>
          <w:szCs w:val="24"/>
        </w:rPr>
        <w:t>城市（乡）规划高级（或以上）工程师职称</w:t>
      </w:r>
      <w:r>
        <w:rPr>
          <w:sz w:val="24"/>
          <w:szCs w:val="24"/>
          <w:shd w:val="clear" w:color="auto" w:fill="FFFFFF"/>
        </w:rPr>
        <w:t>；</w:t>
      </w:r>
      <w:r>
        <w:rPr>
          <w:sz w:val="24"/>
          <w:szCs w:val="24"/>
        </w:rPr>
        <w:t>技术服务团队</w:t>
      </w:r>
      <w:r>
        <w:rPr>
          <w:sz w:val="24"/>
          <w:szCs w:val="24"/>
          <w:shd w:val="clear" w:color="auto" w:fill="FFFFFF"/>
        </w:rPr>
        <w:t>宜具有开展本项目所</w:t>
      </w:r>
      <w:r>
        <w:rPr>
          <w:sz w:val="24"/>
          <w:szCs w:val="24"/>
        </w:rPr>
        <w:t>城市（乡）规划、道路交通（或市政路桥设计）相关专业、给排水相关专业高级（或以上）工程师等职称</w:t>
      </w:r>
      <w:r>
        <w:rPr>
          <w:sz w:val="24"/>
          <w:szCs w:val="24"/>
          <w:shd w:val="clear" w:color="auto" w:fill="FFFFFF"/>
        </w:rPr>
        <w:t>。</w:t>
      </w:r>
    </w:p>
    <w:p w14:paraId="5F1E9C81">
      <w:pPr>
        <w:pStyle w:val="7"/>
        <w:ind w:firstLine="480"/>
        <w:rPr>
          <w:rFonts w:hint="default"/>
          <w:sz w:val="24"/>
          <w:szCs w:val="24"/>
        </w:rPr>
      </w:pPr>
      <w:r>
        <w:rPr>
          <w:sz w:val="24"/>
          <w:szCs w:val="24"/>
          <w:shd w:val="clear" w:color="auto" w:fill="FFFFFF"/>
        </w:rPr>
        <w:t>（三）</w:t>
      </w:r>
      <w:r>
        <w:rPr>
          <w:sz w:val="24"/>
          <w:szCs w:val="24"/>
        </w:rPr>
        <w:t>投标人需具备良好的服务响应，收到采购人通知（电话或书面）后能及时响应。</w:t>
      </w:r>
    </w:p>
    <w:p w14:paraId="3466E08C">
      <w:pPr>
        <w:pStyle w:val="7"/>
        <w:rPr>
          <w:rFonts w:hint="default"/>
          <w:sz w:val="24"/>
          <w:szCs w:val="24"/>
        </w:rPr>
      </w:pPr>
      <w:r>
        <w:rPr>
          <w:sz w:val="24"/>
          <w:szCs w:val="24"/>
        </w:rPr>
        <w:t>采购包1（花都区202</w:t>
      </w:r>
      <w:r>
        <w:rPr>
          <w:sz w:val="24"/>
          <w:szCs w:val="24"/>
          <w:lang w:eastAsia="zh-CN"/>
        </w:rPr>
        <w:t>6</w:t>
      </w:r>
      <w:r>
        <w:rPr>
          <w:sz w:val="24"/>
          <w:szCs w:val="24"/>
        </w:rPr>
        <w:t>-202</w:t>
      </w:r>
      <w:r>
        <w:rPr>
          <w:sz w:val="24"/>
          <w:szCs w:val="24"/>
          <w:lang w:eastAsia="zh-CN"/>
        </w:rPr>
        <w:t>7</w:t>
      </w:r>
      <w:r>
        <w:rPr>
          <w:sz w:val="24"/>
          <w:szCs w:val="24"/>
        </w:rPr>
        <w:t>年度政府储备用地控制性详细规划调整项目）</w:t>
      </w:r>
    </w:p>
    <w:p w14:paraId="69C132F9">
      <w:pPr>
        <w:pStyle w:val="7"/>
        <w:rPr>
          <w:rFonts w:hint="default"/>
          <w:sz w:val="24"/>
          <w:szCs w:val="24"/>
        </w:rPr>
      </w:pPr>
      <w:r>
        <w:rPr>
          <w:b/>
          <w:sz w:val="24"/>
          <w:szCs w:val="24"/>
        </w:rPr>
        <w:t>1.主要商务要求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FCCE6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3CD6BAD">
            <w:pPr>
              <w:pStyle w:val="7"/>
              <w:rPr>
                <w:rFonts w:hint="default"/>
                <w:sz w:val="24"/>
                <w:szCs w:val="24"/>
                <w:highlight w:val="none"/>
              </w:rPr>
            </w:pPr>
            <w:bookmarkStart w:id="0" w:name="_GoBack"/>
            <w:r>
              <w:rPr>
                <w:sz w:val="24"/>
                <w:szCs w:val="24"/>
                <w:highlight w:val="none"/>
              </w:rPr>
              <w:t>标的提供的时间</w:t>
            </w:r>
          </w:p>
        </w:tc>
        <w:tc>
          <w:tcPr>
            <w:tcW w:w="4153" w:type="dxa"/>
          </w:tcPr>
          <w:p w14:paraId="6AA890EE">
            <w:pPr>
              <w:pStyle w:val="7"/>
              <w:rPr>
                <w:rFonts w:hint="default"/>
                <w:sz w:val="24"/>
                <w:szCs w:val="24"/>
                <w:highlight w:val="none"/>
              </w:rPr>
            </w:pPr>
            <w:r>
              <w:rPr>
                <w:sz w:val="24"/>
                <w:szCs w:val="24"/>
                <w:highlight w:val="none"/>
              </w:rPr>
              <w:t>自合同签订之日起两年内完成，或项目付款金额累计达到本项目财政预算金额人民币叁仟万元整。（如因项目审批环节时间超出预期而造成承接单位未能在规定期限内完成项目，项目完成的时间可顺延，具体时间由承接单位与委托单位协商确定）。</w:t>
            </w:r>
          </w:p>
        </w:tc>
      </w:tr>
      <w:tr w14:paraId="70A45A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2B10059">
            <w:pPr>
              <w:pStyle w:val="7"/>
              <w:rPr>
                <w:rFonts w:hint="default"/>
                <w:sz w:val="24"/>
                <w:szCs w:val="24"/>
                <w:highlight w:val="none"/>
              </w:rPr>
            </w:pPr>
            <w:r>
              <w:rPr>
                <w:sz w:val="24"/>
                <w:szCs w:val="24"/>
                <w:highlight w:val="none"/>
              </w:rPr>
              <w:t>标的提供的地点</w:t>
            </w:r>
          </w:p>
        </w:tc>
        <w:tc>
          <w:tcPr>
            <w:tcW w:w="4153" w:type="dxa"/>
          </w:tcPr>
          <w:p w14:paraId="6B672FDE">
            <w:pPr>
              <w:pStyle w:val="7"/>
              <w:rPr>
                <w:rFonts w:hint="default"/>
                <w:sz w:val="24"/>
                <w:szCs w:val="24"/>
                <w:highlight w:val="none"/>
              </w:rPr>
            </w:pPr>
            <w:r>
              <w:rPr>
                <w:sz w:val="24"/>
                <w:szCs w:val="24"/>
                <w:highlight w:val="none"/>
              </w:rPr>
              <w:t>广州市花都区</w:t>
            </w:r>
          </w:p>
        </w:tc>
      </w:tr>
      <w:tr w14:paraId="5074BC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C243401">
            <w:pPr>
              <w:pStyle w:val="7"/>
              <w:rPr>
                <w:rFonts w:hint="default"/>
                <w:sz w:val="24"/>
                <w:szCs w:val="24"/>
                <w:highlight w:val="none"/>
              </w:rPr>
            </w:pPr>
            <w:r>
              <w:rPr>
                <w:sz w:val="24"/>
                <w:szCs w:val="24"/>
                <w:highlight w:val="none"/>
              </w:rPr>
              <w:t>付款方式</w:t>
            </w:r>
          </w:p>
        </w:tc>
        <w:tc>
          <w:tcPr>
            <w:tcW w:w="4153" w:type="dxa"/>
          </w:tcPr>
          <w:p w14:paraId="43EC0B77">
            <w:pPr>
              <w:pStyle w:val="7"/>
              <w:rPr>
                <w:rFonts w:hint="default"/>
                <w:sz w:val="24"/>
                <w:szCs w:val="24"/>
                <w:highlight w:val="none"/>
              </w:rPr>
            </w:pPr>
            <w:r>
              <w:rPr>
                <w:sz w:val="24"/>
                <w:szCs w:val="24"/>
                <w:highlight w:val="none"/>
              </w:rPr>
              <w:t>第1期为(预付款)：支付比例40%，确定中标人后，应与采购人签订项目总合同，合同生效后，根据采购人下达的每项具体工作和实际委托项目费用，由采购人按照基准费用（不超过最高限价）及中标</w:t>
            </w:r>
            <w:r>
              <w:rPr>
                <w:rFonts w:hint="eastAsia"/>
                <w:sz w:val="24"/>
                <w:szCs w:val="24"/>
                <w:highlight w:val="none"/>
                <w:lang w:eastAsia="zh-CN"/>
              </w:rPr>
              <w:t>折扣</w:t>
            </w:r>
            <w:r>
              <w:rPr>
                <w:sz w:val="24"/>
                <w:szCs w:val="24"/>
                <w:highlight w:val="none"/>
              </w:rPr>
              <w:t>计算工作费用形成交办函、签订具体项目委托协议，并向中标人支付该项工作费用的40%作为预付款。</w:t>
            </w:r>
          </w:p>
          <w:p w14:paraId="5180ACDF">
            <w:pPr>
              <w:pStyle w:val="7"/>
              <w:rPr>
                <w:rFonts w:hint="default"/>
                <w:sz w:val="24"/>
                <w:szCs w:val="24"/>
                <w:highlight w:val="none"/>
              </w:rPr>
            </w:pPr>
            <w:r>
              <w:rPr>
                <w:sz w:val="24"/>
                <w:szCs w:val="24"/>
                <w:highlight w:val="none"/>
              </w:rPr>
              <w:t>第2期为(尾款)：支付比例60%，中标人完成受委托项目的规划调整工作，经审批部门通过，且经广州市规划和自然资源局花都区分局审查通过并出具结题函后，合同约定的应由中标人履行的所有义务已经履行完毕，结算中标人完成的成果，由采购人向财政部门申请支付具体项目委托合同剩余尾款。 注： 1、中标人凭以下有效文件与采购人办理结算：(1)合同（双方签字盖章版）；(2)中标人开具的正式发票；(3)项目结题函；(4)中标通知书。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14:paraId="11BFA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2967E4C2">
            <w:pPr>
              <w:pStyle w:val="7"/>
              <w:rPr>
                <w:rFonts w:hint="default"/>
                <w:sz w:val="24"/>
                <w:szCs w:val="24"/>
                <w:highlight w:val="none"/>
              </w:rPr>
            </w:pPr>
            <w:r>
              <w:rPr>
                <w:sz w:val="24"/>
                <w:szCs w:val="24"/>
                <w:highlight w:val="none"/>
              </w:rPr>
              <w:t>如项目发生合同融资，采购人应当将合同款项支付到合同约定收款账户。</w:t>
            </w:r>
          </w:p>
        </w:tc>
      </w:tr>
      <w:tr w14:paraId="44E0A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19E337E">
            <w:pPr>
              <w:pStyle w:val="7"/>
              <w:rPr>
                <w:rFonts w:hint="default"/>
                <w:sz w:val="24"/>
                <w:szCs w:val="24"/>
                <w:highlight w:val="none"/>
              </w:rPr>
            </w:pPr>
            <w:r>
              <w:rPr>
                <w:sz w:val="24"/>
                <w:szCs w:val="24"/>
                <w:highlight w:val="none"/>
              </w:rPr>
              <w:t>验收要求</w:t>
            </w:r>
          </w:p>
        </w:tc>
        <w:tc>
          <w:tcPr>
            <w:tcW w:w="4153" w:type="dxa"/>
          </w:tcPr>
          <w:p w14:paraId="2D2A252B">
            <w:pPr>
              <w:pStyle w:val="7"/>
              <w:rPr>
                <w:rFonts w:hint="default"/>
                <w:sz w:val="24"/>
                <w:szCs w:val="24"/>
                <w:highlight w:val="none"/>
              </w:rPr>
            </w:pPr>
            <w:r>
              <w:rPr>
                <w:sz w:val="24"/>
                <w:szCs w:val="24"/>
                <w:highlight w:val="none"/>
              </w:rPr>
              <w:t>1期：双方确定以下列标准和方式对中标人的技术服务工作成果进行验收： 1.中标人完成技术服务工作的形式：依据项目需求和采购人要求提交工作成果。2.技术服务工作成果的验收标准：成果必须符合国家及省、市现行有效的相关规定、技术标准、管理标准和设计规范及本需求中工作内容要求等有关章节的规定。3.技术服务工作成果的验收方法：通过规划审批部门审批通过，且经广州市规划和自然资源局花都区分局审查通过结题。4.验收的时间和地点：由采购人另行确定。</w:t>
            </w:r>
          </w:p>
        </w:tc>
      </w:tr>
      <w:tr w14:paraId="4D0E4A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93B3F9C">
            <w:pPr>
              <w:pStyle w:val="7"/>
              <w:rPr>
                <w:rFonts w:hint="default"/>
                <w:sz w:val="24"/>
                <w:szCs w:val="24"/>
                <w:highlight w:val="none"/>
              </w:rPr>
            </w:pPr>
            <w:r>
              <w:rPr>
                <w:sz w:val="24"/>
                <w:szCs w:val="24"/>
                <w:highlight w:val="none"/>
              </w:rPr>
              <w:t>履约保证金</w:t>
            </w:r>
          </w:p>
        </w:tc>
        <w:tc>
          <w:tcPr>
            <w:tcW w:w="4153" w:type="dxa"/>
          </w:tcPr>
          <w:p w14:paraId="71044D16">
            <w:pPr>
              <w:pStyle w:val="7"/>
              <w:rPr>
                <w:rFonts w:hint="default"/>
                <w:sz w:val="24"/>
                <w:szCs w:val="24"/>
                <w:highlight w:val="none"/>
              </w:rPr>
            </w:pPr>
            <w:r>
              <w:rPr>
                <w:sz w:val="24"/>
                <w:szCs w:val="24"/>
                <w:highlight w:val="none"/>
              </w:rPr>
              <w:t>不收取</w:t>
            </w:r>
          </w:p>
        </w:tc>
      </w:tr>
      <w:tr w14:paraId="2C455D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844D81E">
            <w:pPr>
              <w:pStyle w:val="7"/>
              <w:rPr>
                <w:rFonts w:hint="default"/>
                <w:sz w:val="24"/>
                <w:szCs w:val="24"/>
                <w:highlight w:val="none"/>
              </w:rPr>
            </w:pPr>
            <w:r>
              <w:rPr>
                <w:sz w:val="24"/>
                <w:szCs w:val="24"/>
                <w:highlight w:val="none"/>
              </w:rPr>
              <w:t>其他</w:t>
            </w:r>
          </w:p>
        </w:tc>
        <w:tc>
          <w:tcPr>
            <w:tcW w:w="4153" w:type="dxa"/>
          </w:tcPr>
          <w:p w14:paraId="4423CB91">
            <w:pPr>
              <w:pStyle w:val="7"/>
              <w:rPr>
                <w:rFonts w:hint="default"/>
                <w:sz w:val="24"/>
                <w:szCs w:val="24"/>
                <w:highlight w:val="none"/>
              </w:rPr>
            </w:pPr>
          </w:p>
        </w:tc>
      </w:tr>
      <w:bookmarkEnd w:id="0"/>
    </w:tbl>
    <w:p w14:paraId="7C176FCF">
      <w:pPr>
        <w:pStyle w:val="7"/>
        <w:rPr>
          <w:rFonts w:hint="default"/>
          <w:sz w:val="24"/>
          <w:szCs w:val="24"/>
        </w:rPr>
      </w:pPr>
      <w:r>
        <w:rPr>
          <w:b/>
          <w:sz w:val="24"/>
          <w:szCs w:val="24"/>
        </w:rPr>
        <w:t>2.技术标准与要求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17"/>
        <w:gridCol w:w="517"/>
        <w:gridCol w:w="1263"/>
        <w:gridCol w:w="517"/>
        <w:gridCol w:w="673"/>
        <w:gridCol w:w="1613"/>
        <w:gridCol w:w="1613"/>
        <w:gridCol w:w="775"/>
        <w:gridCol w:w="517"/>
        <w:gridCol w:w="517"/>
      </w:tblGrid>
      <w:tr w14:paraId="73CD55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29594D">
            <w:pPr>
              <w:pStyle w:val="7"/>
              <w:jc w:val="center"/>
              <w:rPr>
                <w:rFonts w:hint="default"/>
                <w:sz w:val="24"/>
                <w:szCs w:val="24"/>
              </w:rPr>
            </w:pPr>
            <w:r>
              <w:rPr>
                <w:sz w:val="24"/>
                <w:szCs w:val="24"/>
              </w:rPr>
              <w:t>序号</w:t>
            </w:r>
          </w:p>
        </w:tc>
        <w:tc>
          <w:tcPr>
            <w:tcW w:w="831" w:type="dxa"/>
          </w:tcPr>
          <w:p w14:paraId="0F53B79E">
            <w:pPr>
              <w:pStyle w:val="7"/>
              <w:jc w:val="center"/>
              <w:rPr>
                <w:rFonts w:hint="default"/>
                <w:sz w:val="24"/>
                <w:szCs w:val="24"/>
              </w:rPr>
            </w:pPr>
            <w:r>
              <w:rPr>
                <w:sz w:val="24"/>
                <w:szCs w:val="24"/>
              </w:rPr>
              <w:t>品目名称</w:t>
            </w:r>
          </w:p>
        </w:tc>
        <w:tc>
          <w:tcPr>
            <w:tcW w:w="831" w:type="dxa"/>
          </w:tcPr>
          <w:p w14:paraId="19B7D74E">
            <w:pPr>
              <w:pStyle w:val="7"/>
              <w:jc w:val="center"/>
              <w:rPr>
                <w:rFonts w:hint="default"/>
                <w:sz w:val="24"/>
                <w:szCs w:val="24"/>
              </w:rPr>
            </w:pPr>
            <w:r>
              <w:rPr>
                <w:sz w:val="24"/>
                <w:szCs w:val="24"/>
              </w:rPr>
              <w:t>标的名称</w:t>
            </w:r>
          </w:p>
        </w:tc>
        <w:tc>
          <w:tcPr>
            <w:tcW w:w="831" w:type="dxa"/>
          </w:tcPr>
          <w:p w14:paraId="3CCB99F0">
            <w:pPr>
              <w:pStyle w:val="7"/>
              <w:jc w:val="center"/>
              <w:rPr>
                <w:rFonts w:hint="default"/>
                <w:sz w:val="24"/>
                <w:szCs w:val="24"/>
              </w:rPr>
            </w:pPr>
            <w:r>
              <w:rPr>
                <w:sz w:val="24"/>
                <w:szCs w:val="24"/>
              </w:rPr>
              <w:t>单位</w:t>
            </w:r>
          </w:p>
        </w:tc>
        <w:tc>
          <w:tcPr>
            <w:tcW w:w="831" w:type="dxa"/>
          </w:tcPr>
          <w:p w14:paraId="69DD546B">
            <w:pPr>
              <w:pStyle w:val="7"/>
              <w:jc w:val="center"/>
              <w:rPr>
                <w:rFonts w:hint="default"/>
                <w:sz w:val="24"/>
                <w:szCs w:val="24"/>
              </w:rPr>
            </w:pPr>
            <w:r>
              <w:rPr>
                <w:sz w:val="24"/>
                <w:szCs w:val="24"/>
              </w:rPr>
              <w:t>数量</w:t>
            </w:r>
          </w:p>
        </w:tc>
        <w:tc>
          <w:tcPr>
            <w:tcW w:w="831" w:type="dxa"/>
          </w:tcPr>
          <w:p w14:paraId="6AFC6A9B">
            <w:pPr>
              <w:pStyle w:val="7"/>
              <w:jc w:val="center"/>
              <w:rPr>
                <w:rFonts w:hint="default"/>
                <w:sz w:val="24"/>
                <w:szCs w:val="24"/>
              </w:rPr>
            </w:pPr>
            <w:r>
              <w:rPr>
                <w:sz w:val="24"/>
                <w:szCs w:val="24"/>
              </w:rPr>
              <w:t>分项预算单价（元）</w:t>
            </w:r>
          </w:p>
        </w:tc>
        <w:tc>
          <w:tcPr>
            <w:tcW w:w="831" w:type="dxa"/>
          </w:tcPr>
          <w:p w14:paraId="70929F10">
            <w:pPr>
              <w:pStyle w:val="7"/>
              <w:jc w:val="center"/>
              <w:rPr>
                <w:rFonts w:hint="default"/>
                <w:sz w:val="24"/>
                <w:szCs w:val="24"/>
              </w:rPr>
            </w:pPr>
            <w:r>
              <w:rPr>
                <w:sz w:val="24"/>
                <w:szCs w:val="24"/>
              </w:rPr>
              <w:t>分项预算总价（元）</w:t>
            </w:r>
          </w:p>
        </w:tc>
        <w:tc>
          <w:tcPr>
            <w:tcW w:w="831" w:type="dxa"/>
          </w:tcPr>
          <w:p w14:paraId="43ED123D">
            <w:pPr>
              <w:pStyle w:val="7"/>
              <w:jc w:val="center"/>
              <w:rPr>
                <w:rFonts w:hint="default"/>
                <w:sz w:val="24"/>
                <w:szCs w:val="24"/>
              </w:rPr>
            </w:pPr>
            <w:r>
              <w:rPr>
                <w:sz w:val="24"/>
                <w:szCs w:val="24"/>
              </w:rPr>
              <w:t xml:space="preserve"> 权重%</w:t>
            </w:r>
          </w:p>
        </w:tc>
        <w:tc>
          <w:tcPr>
            <w:tcW w:w="831" w:type="dxa"/>
          </w:tcPr>
          <w:p w14:paraId="78E17783">
            <w:pPr>
              <w:pStyle w:val="7"/>
              <w:rPr>
                <w:rFonts w:hint="default"/>
                <w:sz w:val="24"/>
                <w:szCs w:val="24"/>
              </w:rPr>
            </w:pPr>
            <w:r>
              <w:rPr>
                <w:sz w:val="24"/>
                <w:szCs w:val="24"/>
              </w:rPr>
              <w:t>所属行业</w:t>
            </w:r>
          </w:p>
        </w:tc>
        <w:tc>
          <w:tcPr>
            <w:tcW w:w="831" w:type="dxa"/>
          </w:tcPr>
          <w:p w14:paraId="7CB2D61F">
            <w:pPr>
              <w:pStyle w:val="7"/>
              <w:jc w:val="center"/>
              <w:rPr>
                <w:rFonts w:hint="default"/>
                <w:sz w:val="24"/>
                <w:szCs w:val="24"/>
              </w:rPr>
            </w:pPr>
            <w:r>
              <w:rPr>
                <w:sz w:val="24"/>
                <w:szCs w:val="24"/>
              </w:rPr>
              <w:t>技术要求</w:t>
            </w:r>
          </w:p>
        </w:tc>
      </w:tr>
      <w:tr w14:paraId="3F226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45B6CF">
            <w:pPr>
              <w:pStyle w:val="7"/>
              <w:jc w:val="center"/>
              <w:rPr>
                <w:rFonts w:hint="default"/>
                <w:sz w:val="24"/>
                <w:szCs w:val="24"/>
              </w:rPr>
            </w:pPr>
            <w:r>
              <w:rPr>
                <w:sz w:val="24"/>
                <w:szCs w:val="24"/>
              </w:rPr>
              <w:t>1</w:t>
            </w:r>
          </w:p>
        </w:tc>
        <w:tc>
          <w:tcPr>
            <w:tcW w:w="831" w:type="dxa"/>
          </w:tcPr>
          <w:p w14:paraId="3882F53F">
            <w:pPr>
              <w:pStyle w:val="7"/>
              <w:rPr>
                <w:rFonts w:hint="default"/>
                <w:sz w:val="24"/>
                <w:szCs w:val="24"/>
              </w:rPr>
            </w:pPr>
            <w:r>
              <w:rPr>
                <w:sz w:val="24"/>
                <w:szCs w:val="24"/>
              </w:rPr>
              <w:t>区域规划和设计服务</w:t>
            </w:r>
          </w:p>
        </w:tc>
        <w:tc>
          <w:tcPr>
            <w:tcW w:w="831" w:type="dxa"/>
          </w:tcPr>
          <w:p w14:paraId="130747C2">
            <w:pPr>
              <w:pStyle w:val="7"/>
              <w:rPr>
                <w:rFonts w:hint="default"/>
                <w:sz w:val="24"/>
                <w:szCs w:val="24"/>
              </w:rPr>
            </w:pPr>
            <w:r>
              <w:rPr>
                <w:sz w:val="24"/>
                <w:szCs w:val="24"/>
              </w:rPr>
              <w:t>花都区202</w:t>
            </w:r>
            <w:r>
              <w:rPr>
                <w:sz w:val="24"/>
                <w:szCs w:val="24"/>
                <w:lang w:eastAsia="zh-CN"/>
              </w:rPr>
              <w:t>6</w:t>
            </w:r>
            <w:r>
              <w:rPr>
                <w:sz w:val="24"/>
                <w:szCs w:val="24"/>
              </w:rPr>
              <w:t>-202</w:t>
            </w:r>
            <w:r>
              <w:rPr>
                <w:sz w:val="24"/>
                <w:szCs w:val="24"/>
                <w:lang w:eastAsia="zh-CN"/>
              </w:rPr>
              <w:t>7</w:t>
            </w:r>
            <w:r>
              <w:rPr>
                <w:sz w:val="24"/>
                <w:szCs w:val="24"/>
              </w:rPr>
              <w:t>年度政府储备用地控制性详细规划调整项目</w:t>
            </w:r>
          </w:p>
        </w:tc>
        <w:tc>
          <w:tcPr>
            <w:tcW w:w="831" w:type="dxa"/>
          </w:tcPr>
          <w:p w14:paraId="19589719">
            <w:pPr>
              <w:pStyle w:val="7"/>
              <w:rPr>
                <w:rFonts w:hint="default"/>
                <w:sz w:val="24"/>
                <w:szCs w:val="24"/>
              </w:rPr>
            </w:pPr>
            <w:r>
              <w:rPr>
                <w:sz w:val="24"/>
                <w:szCs w:val="24"/>
              </w:rPr>
              <w:t>项</w:t>
            </w:r>
          </w:p>
        </w:tc>
        <w:tc>
          <w:tcPr>
            <w:tcW w:w="831" w:type="dxa"/>
          </w:tcPr>
          <w:p w14:paraId="76A967B4">
            <w:pPr>
              <w:pStyle w:val="7"/>
              <w:jc w:val="right"/>
              <w:rPr>
                <w:rFonts w:hint="default"/>
                <w:sz w:val="24"/>
                <w:szCs w:val="24"/>
              </w:rPr>
            </w:pPr>
            <w:r>
              <w:rPr>
                <w:sz w:val="24"/>
                <w:szCs w:val="24"/>
              </w:rPr>
              <w:t>1.00</w:t>
            </w:r>
          </w:p>
        </w:tc>
        <w:tc>
          <w:tcPr>
            <w:tcW w:w="831" w:type="dxa"/>
          </w:tcPr>
          <w:p w14:paraId="5BFC6B7C">
            <w:pPr>
              <w:pStyle w:val="7"/>
              <w:jc w:val="right"/>
              <w:rPr>
                <w:rFonts w:hint="default"/>
                <w:sz w:val="24"/>
                <w:szCs w:val="24"/>
              </w:rPr>
            </w:pPr>
            <w:r>
              <w:rPr>
                <w:sz w:val="24"/>
                <w:szCs w:val="24"/>
              </w:rPr>
              <w:t>30,000,000.00</w:t>
            </w:r>
          </w:p>
        </w:tc>
        <w:tc>
          <w:tcPr>
            <w:tcW w:w="831" w:type="dxa"/>
          </w:tcPr>
          <w:p w14:paraId="7DB46110">
            <w:pPr>
              <w:pStyle w:val="7"/>
              <w:jc w:val="right"/>
              <w:rPr>
                <w:rFonts w:hint="default"/>
                <w:sz w:val="24"/>
                <w:szCs w:val="24"/>
              </w:rPr>
            </w:pPr>
            <w:r>
              <w:rPr>
                <w:sz w:val="24"/>
                <w:szCs w:val="24"/>
              </w:rPr>
              <w:t>30,000,000.00</w:t>
            </w:r>
          </w:p>
        </w:tc>
        <w:tc>
          <w:tcPr>
            <w:tcW w:w="831" w:type="dxa"/>
          </w:tcPr>
          <w:p w14:paraId="0BFCAE08">
            <w:pPr>
              <w:pStyle w:val="7"/>
              <w:rPr>
                <w:rFonts w:hint="default"/>
                <w:sz w:val="24"/>
                <w:szCs w:val="24"/>
              </w:rPr>
            </w:pPr>
            <w:r>
              <w:rPr>
                <w:sz w:val="24"/>
                <w:szCs w:val="24"/>
              </w:rPr>
              <w:t>100.0</w:t>
            </w:r>
          </w:p>
        </w:tc>
        <w:tc>
          <w:tcPr>
            <w:tcW w:w="831" w:type="dxa"/>
          </w:tcPr>
          <w:p w14:paraId="77AD2F43">
            <w:pPr>
              <w:pStyle w:val="7"/>
              <w:rPr>
                <w:rFonts w:hint="default"/>
                <w:sz w:val="24"/>
                <w:szCs w:val="24"/>
              </w:rPr>
            </w:pPr>
            <w:r>
              <w:rPr>
                <w:sz w:val="24"/>
                <w:szCs w:val="24"/>
              </w:rPr>
              <w:t>其他未列明行业</w:t>
            </w:r>
          </w:p>
        </w:tc>
        <w:tc>
          <w:tcPr>
            <w:tcW w:w="831" w:type="dxa"/>
          </w:tcPr>
          <w:p w14:paraId="49FB0CAF">
            <w:pPr>
              <w:pStyle w:val="7"/>
              <w:rPr>
                <w:rFonts w:hint="default"/>
                <w:sz w:val="24"/>
                <w:szCs w:val="24"/>
              </w:rPr>
            </w:pPr>
            <w:r>
              <w:rPr>
                <w:sz w:val="24"/>
                <w:szCs w:val="24"/>
              </w:rPr>
              <w:t>详见附表一</w:t>
            </w:r>
          </w:p>
        </w:tc>
      </w:tr>
    </w:tbl>
    <w:p w14:paraId="26A60C5B">
      <w:pPr>
        <w:pStyle w:val="7"/>
        <w:rPr>
          <w:rFonts w:hint="default"/>
          <w:sz w:val="24"/>
          <w:szCs w:val="24"/>
        </w:rPr>
      </w:pPr>
      <w:r>
        <w:rPr>
          <w:sz w:val="24"/>
          <w:szCs w:val="24"/>
        </w:rPr>
        <w:t>备注：最终综合总报价=（各产品报价×各项产品权重）的相加值</w:t>
      </w:r>
    </w:p>
    <w:p w14:paraId="4B34BD79">
      <w:pPr>
        <w:pStyle w:val="7"/>
        <w:rPr>
          <w:rFonts w:hint="default"/>
          <w:sz w:val="24"/>
          <w:szCs w:val="24"/>
        </w:rPr>
      </w:pPr>
      <w:r>
        <w:rPr>
          <w:b/>
          <w:sz w:val="24"/>
          <w:szCs w:val="24"/>
        </w:rPr>
        <w:t>附表一：花都区202</w:t>
      </w:r>
      <w:r>
        <w:rPr>
          <w:b/>
          <w:sz w:val="24"/>
          <w:szCs w:val="24"/>
          <w:lang w:eastAsia="zh-CN"/>
        </w:rPr>
        <w:t>6</w:t>
      </w:r>
      <w:r>
        <w:rPr>
          <w:b/>
          <w:sz w:val="24"/>
          <w:szCs w:val="24"/>
        </w:rPr>
        <w:t>-202</w:t>
      </w:r>
      <w:r>
        <w:rPr>
          <w:b/>
          <w:sz w:val="24"/>
          <w:szCs w:val="24"/>
          <w:lang w:eastAsia="zh-CN"/>
        </w:rPr>
        <w:t>7</w:t>
      </w:r>
      <w:r>
        <w:rPr>
          <w:b/>
          <w:sz w:val="24"/>
          <w:szCs w:val="24"/>
        </w:rPr>
        <w:t>年度政府储备用地控制性详细规划调整项目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56"/>
        <w:gridCol w:w="5814"/>
      </w:tblGrid>
      <w:tr w14:paraId="6F8A03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155B08F">
            <w:pPr>
              <w:pStyle w:val="7"/>
              <w:rPr>
                <w:rFonts w:hint="default"/>
                <w:sz w:val="24"/>
                <w:szCs w:val="24"/>
              </w:rPr>
            </w:pPr>
            <w:r>
              <w:rPr>
                <w:sz w:val="24"/>
                <w:szCs w:val="24"/>
              </w:rPr>
              <w:t>参数性质</w:t>
            </w:r>
          </w:p>
        </w:tc>
        <w:tc>
          <w:tcPr>
            <w:tcW w:w="415" w:type="dxa"/>
          </w:tcPr>
          <w:p w14:paraId="0F63437B">
            <w:pPr>
              <w:pStyle w:val="7"/>
              <w:rPr>
                <w:rFonts w:hint="default"/>
                <w:sz w:val="24"/>
                <w:szCs w:val="24"/>
              </w:rPr>
            </w:pPr>
            <w:r>
              <w:rPr>
                <w:sz w:val="24"/>
                <w:szCs w:val="24"/>
              </w:rPr>
              <w:t>序号</w:t>
            </w:r>
          </w:p>
        </w:tc>
        <w:tc>
          <w:tcPr>
            <w:tcW w:w="5814" w:type="dxa"/>
          </w:tcPr>
          <w:p w14:paraId="6E207DE1">
            <w:pPr>
              <w:pStyle w:val="7"/>
              <w:rPr>
                <w:rFonts w:hint="default"/>
                <w:sz w:val="24"/>
                <w:szCs w:val="24"/>
              </w:rPr>
            </w:pPr>
            <w:r>
              <w:rPr>
                <w:sz w:val="24"/>
                <w:szCs w:val="24"/>
              </w:rPr>
              <w:t>具体技术(参数)要求</w:t>
            </w:r>
          </w:p>
        </w:tc>
      </w:tr>
      <w:tr w14:paraId="410AC1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CB20241">
            <w:pPr>
              <w:rPr>
                <w:sz w:val="24"/>
              </w:rPr>
            </w:pPr>
          </w:p>
        </w:tc>
        <w:tc>
          <w:tcPr>
            <w:tcW w:w="415" w:type="dxa"/>
          </w:tcPr>
          <w:p w14:paraId="740D3E1E">
            <w:pPr>
              <w:pStyle w:val="7"/>
              <w:rPr>
                <w:rFonts w:hint="default"/>
                <w:sz w:val="24"/>
                <w:szCs w:val="24"/>
              </w:rPr>
            </w:pPr>
            <w:r>
              <w:rPr>
                <w:sz w:val="24"/>
                <w:szCs w:val="24"/>
              </w:rPr>
              <w:t>1</w:t>
            </w:r>
          </w:p>
        </w:tc>
        <w:tc>
          <w:tcPr>
            <w:tcW w:w="5814" w:type="dxa"/>
          </w:tcPr>
          <w:p w14:paraId="3B15022E">
            <w:pPr>
              <w:pStyle w:val="7"/>
              <w:jc w:val="center"/>
              <w:rPr>
                <w:rFonts w:hint="default"/>
                <w:sz w:val="24"/>
                <w:szCs w:val="24"/>
              </w:rPr>
            </w:pPr>
            <w:r>
              <w:rPr>
                <w:b/>
                <w:sz w:val="24"/>
                <w:szCs w:val="24"/>
              </w:rPr>
              <w:t>一、总则</w:t>
            </w:r>
          </w:p>
          <w:p w14:paraId="30016D2A">
            <w:pPr>
              <w:pStyle w:val="7"/>
              <w:ind w:firstLine="482"/>
              <w:rPr>
                <w:rFonts w:hint="default"/>
                <w:sz w:val="24"/>
                <w:szCs w:val="24"/>
              </w:rPr>
            </w:pPr>
            <w:r>
              <w:rPr>
                <w:b/>
                <w:sz w:val="24"/>
                <w:szCs w:val="24"/>
              </w:rPr>
              <w:t xml:space="preserve">第一条 </w:t>
            </w:r>
            <w:r>
              <w:rPr>
                <w:sz w:val="24"/>
                <w:szCs w:val="24"/>
              </w:rPr>
              <w:t>为深化落实“一区一城一港一湾”产业发展新格局，落实城市发展需要，结合202</w:t>
            </w:r>
            <w:r>
              <w:rPr>
                <w:sz w:val="24"/>
                <w:szCs w:val="24"/>
                <w:lang w:eastAsia="zh-CN"/>
              </w:rPr>
              <w:t>6</w:t>
            </w:r>
            <w:r>
              <w:rPr>
                <w:sz w:val="24"/>
                <w:szCs w:val="24"/>
              </w:rPr>
              <w:t>-202</w:t>
            </w:r>
            <w:r>
              <w:rPr>
                <w:sz w:val="24"/>
                <w:szCs w:val="24"/>
                <w:lang w:eastAsia="zh-CN"/>
              </w:rPr>
              <w:t>7</w:t>
            </w:r>
            <w:r>
              <w:rPr>
                <w:sz w:val="24"/>
                <w:szCs w:val="24"/>
              </w:rPr>
              <w:t>年度花都区土地储备任务，准备开展202</w:t>
            </w:r>
            <w:r>
              <w:rPr>
                <w:sz w:val="24"/>
                <w:szCs w:val="24"/>
                <w:lang w:eastAsia="zh-CN"/>
              </w:rPr>
              <w:t>6</w:t>
            </w:r>
            <w:r>
              <w:rPr>
                <w:sz w:val="24"/>
                <w:szCs w:val="24"/>
              </w:rPr>
              <w:t>-202</w:t>
            </w:r>
            <w:r>
              <w:rPr>
                <w:sz w:val="24"/>
                <w:szCs w:val="24"/>
                <w:lang w:eastAsia="zh-CN"/>
              </w:rPr>
              <w:t>7</w:t>
            </w:r>
            <w:r>
              <w:rPr>
                <w:sz w:val="24"/>
                <w:szCs w:val="24"/>
              </w:rPr>
              <w:t>年度储备用地控规调整服务工作。</w:t>
            </w:r>
          </w:p>
          <w:p w14:paraId="41C59E8D">
            <w:pPr>
              <w:pStyle w:val="7"/>
              <w:ind w:firstLine="482"/>
              <w:rPr>
                <w:rFonts w:hint="default"/>
                <w:sz w:val="24"/>
                <w:szCs w:val="24"/>
              </w:rPr>
            </w:pPr>
            <w:r>
              <w:rPr>
                <w:b/>
                <w:sz w:val="24"/>
                <w:szCs w:val="24"/>
              </w:rPr>
              <w:t xml:space="preserve">第二条 </w:t>
            </w:r>
            <w:r>
              <w:rPr>
                <w:sz w:val="24"/>
                <w:szCs w:val="24"/>
              </w:rPr>
              <w:t>本规划调整项目的工作范围为花都区。</w:t>
            </w:r>
          </w:p>
          <w:p w14:paraId="55606D33">
            <w:pPr>
              <w:pStyle w:val="7"/>
              <w:ind w:firstLine="482"/>
              <w:rPr>
                <w:rFonts w:hint="default"/>
                <w:sz w:val="24"/>
                <w:szCs w:val="24"/>
              </w:rPr>
            </w:pPr>
            <w:r>
              <w:rPr>
                <w:b/>
                <w:sz w:val="24"/>
                <w:szCs w:val="24"/>
              </w:rPr>
              <w:t xml:space="preserve">第三条 </w:t>
            </w:r>
            <w:r>
              <w:rPr>
                <w:sz w:val="24"/>
                <w:szCs w:val="24"/>
              </w:rPr>
              <w:t>本标段将依据《中华人民共和国政府采购法》相关规定，通过政府采购的方式，委托具备相应资质的服务单位完成。</w:t>
            </w:r>
          </w:p>
          <w:p w14:paraId="6F4A1F88">
            <w:pPr>
              <w:pStyle w:val="7"/>
              <w:ind w:firstLine="482"/>
              <w:rPr>
                <w:rFonts w:hint="default"/>
                <w:sz w:val="24"/>
                <w:szCs w:val="24"/>
              </w:rPr>
            </w:pPr>
            <w:r>
              <w:rPr>
                <w:b/>
                <w:sz w:val="24"/>
                <w:szCs w:val="24"/>
              </w:rPr>
              <w:t xml:space="preserve">第四条 </w:t>
            </w:r>
            <w:r>
              <w:rPr>
                <w:sz w:val="24"/>
                <w:szCs w:val="24"/>
              </w:rPr>
              <w:t>自合同签订之日起</w:t>
            </w:r>
            <w:r>
              <w:rPr>
                <w:sz w:val="24"/>
                <w:szCs w:val="24"/>
                <w:u w:val="single"/>
              </w:rPr>
              <w:t>两年内</w:t>
            </w:r>
            <w:r>
              <w:rPr>
                <w:sz w:val="24"/>
                <w:szCs w:val="24"/>
              </w:rPr>
              <w:t>完成，或项目付款金额累计达到本项目财政预算金额人民币叁仟万元整。（如因项目审批环节时间超出预期而造成承接单位未能在规定期限内完成项目，项目完成的时间可顺延，具体时间由承接单位与委托单位协商确定）。服务期限内，由广州市花都区土地开发储备中心指定具体地块开展调规工作，最终按实际完成工作量结算费用。承接本标段的单位需按任务书规定要求和进度完成工作，并按约定的工作期限完成指定储备地块的规划调整并按程序通过有关部门审批。</w:t>
            </w:r>
          </w:p>
          <w:p w14:paraId="09A894BA">
            <w:pPr>
              <w:pStyle w:val="7"/>
              <w:ind w:firstLine="482"/>
              <w:rPr>
                <w:rFonts w:hint="default"/>
                <w:sz w:val="24"/>
                <w:szCs w:val="24"/>
              </w:rPr>
            </w:pPr>
            <w:r>
              <w:rPr>
                <w:b/>
                <w:sz w:val="24"/>
                <w:szCs w:val="24"/>
              </w:rPr>
              <w:t xml:space="preserve">第五条 </w:t>
            </w:r>
            <w:r>
              <w:rPr>
                <w:sz w:val="24"/>
                <w:szCs w:val="24"/>
              </w:rPr>
              <w:t>承接本规划任务的单位被视为承认本任务书所有条款，并按本文件规定的条款完成相关工作。</w:t>
            </w:r>
          </w:p>
          <w:p w14:paraId="235E61D6">
            <w:pPr>
              <w:pStyle w:val="7"/>
              <w:jc w:val="center"/>
              <w:rPr>
                <w:rFonts w:hint="default"/>
                <w:sz w:val="24"/>
                <w:szCs w:val="24"/>
              </w:rPr>
            </w:pPr>
            <w:r>
              <w:rPr>
                <w:b/>
                <w:sz w:val="24"/>
                <w:szCs w:val="24"/>
              </w:rPr>
              <w:t>二、规划设计原则</w:t>
            </w:r>
          </w:p>
          <w:p w14:paraId="76DC2668">
            <w:pPr>
              <w:pStyle w:val="7"/>
              <w:ind w:firstLine="482"/>
              <w:rPr>
                <w:rFonts w:hint="default"/>
                <w:sz w:val="24"/>
                <w:szCs w:val="24"/>
              </w:rPr>
            </w:pPr>
            <w:r>
              <w:rPr>
                <w:b/>
                <w:sz w:val="24"/>
                <w:szCs w:val="24"/>
              </w:rPr>
              <w:t xml:space="preserve">第六条 </w:t>
            </w:r>
            <w:r>
              <w:rPr>
                <w:sz w:val="24"/>
                <w:szCs w:val="24"/>
              </w:rPr>
              <w:t>承上启下原则：充分落实广州市国土空间总体规划、花都区发展大纲等上层次规划的要求，从更大的范围考虑规划的发展定位和功能，建立地区清晰的发展路径，提出具有较高可行性的发展策略，引领该地区城市建设和产业转型升级。</w:t>
            </w:r>
          </w:p>
          <w:p w14:paraId="76BA518C">
            <w:pPr>
              <w:pStyle w:val="7"/>
              <w:ind w:firstLine="482"/>
              <w:rPr>
                <w:rFonts w:hint="default"/>
                <w:sz w:val="24"/>
                <w:szCs w:val="24"/>
              </w:rPr>
            </w:pPr>
            <w:r>
              <w:rPr>
                <w:b/>
                <w:sz w:val="24"/>
                <w:szCs w:val="24"/>
              </w:rPr>
              <w:t xml:space="preserve">第七条 </w:t>
            </w:r>
            <w:r>
              <w:rPr>
                <w:sz w:val="24"/>
                <w:szCs w:val="24"/>
              </w:rPr>
              <w:t>以人为本原则：注重环境保护和开发利用相结合，体现可持续发展的要求。从人的尺度和出行需要出发，构建和谐、舒适的现代城市风貌。</w:t>
            </w:r>
          </w:p>
          <w:p w14:paraId="64D76C1B">
            <w:pPr>
              <w:pStyle w:val="7"/>
              <w:ind w:firstLine="482"/>
              <w:rPr>
                <w:rFonts w:hint="default"/>
                <w:sz w:val="24"/>
                <w:szCs w:val="24"/>
              </w:rPr>
            </w:pPr>
            <w:r>
              <w:rPr>
                <w:b/>
                <w:sz w:val="24"/>
                <w:szCs w:val="24"/>
              </w:rPr>
              <w:t xml:space="preserve">第八条 </w:t>
            </w:r>
            <w:r>
              <w:rPr>
                <w:sz w:val="24"/>
                <w:szCs w:val="24"/>
              </w:rPr>
              <w:t>“多规合一”原则：规划应综合协调国土空间规划、城市规划、土地利用总体规划与社会经济发展规划之间的关系，特别是注意建设用地在规模与空间布局上的衔接。</w:t>
            </w:r>
          </w:p>
          <w:p w14:paraId="375B3894">
            <w:pPr>
              <w:pStyle w:val="7"/>
              <w:ind w:firstLine="482"/>
              <w:rPr>
                <w:rFonts w:hint="default"/>
                <w:sz w:val="24"/>
                <w:szCs w:val="24"/>
              </w:rPr>
            </w:pPr>
            <w:r>
              <w:rPr>
                <w:b/>
                <w:sz w:val="24"/>
                <w:szCs w:val="24"/>
              </w:rPr>
              <w:t xml:space="preserve">第九条 </w:t>
            </w:r>
            <w:r>
              <w:rPr>
                <w:sz w:val="24"/>
                <w:szCs w:val="24"/>
              </w:rPr>
              <w:t>精细化、品质化原则：按照“精细化、品质化”的要求，从人的尺度和出行需要出发，构建和谐、舒适的城市环境。</w:t>
            </w:r>
          </w:p>
          <w:p w14:paraId="41964767">
            <w:pPr>
              <w:pStyle w:val="7"/>
              <w:ind w:firstLine="482"/>
              <w:rPr>
                <w:rFonts w:hint="default"/>
                <w:sz w:val="24"/>
                <w:szCs w:val="24"/>
              </w:rPr>
            </w:pPr>
            <w:r>
              <w:rPr>
                <w:b/>
                <w:sz w:val="24"/>
                <w:szCs w:val="24"/>
              </w:rPr>
              <w:t xml:space="preserve">第十条 </w:t>
            </w:r>
            <w:r>
              <w:rPr>
                <w:sz w:val="24"/>
                <w:szCs w:val="24"/>
              </w:rPr>
              <w:t>远近结合原则：规划应注重规划功能区的可持续发展，结合上层次规划要求，科学合理论证产业园区各阶段发展目标和规模，统一规划，分期实施。</w:t>
            </w:r>
          </w:p>
          <w:p w14:paraId="3D3E18C1">
            <w:pPr>
              <w:pStyle w:val="7"/>
              <w:ind w:firstLine="482"/>
              <w:rPr>
                <w:rFonts w:hint="default"/>
                <w:sz w:val="24"/>
                <w:szCs w:val="24"/>
              </w:rPr>
            </w:pPr>
            <w:r>
              <w:rPr>
                <w:b/>
                <w:sz w:val="24"/>
                <w:szCs w:val="24"/>
              </w:rPr>
              <w:t xml:space="preserve">第十一条 </w:t>
            </w:r>
            <w:r>
              <w:rPr>
                <w:sz w:val="24"/>
                <w:szCs w:val="24"/>
              </w:rPr>
              <w:t>符合法规原则：遵循中华人民共和国各项有关城市规划与建筑设计规范，以及广东省和广州市相关行业的有关法律、法规和技术规范，成果应符合城乡规划“一张图”管理的“信息化”要求。</w:t>
            </w:r>
          </w:p>
          <w:p w14:paraId="124871E4">
            <w:pPr>
              <w:pStyle w:val="7"/>
              <w:jc w:val="center"/>
              <w:rPr>
                <w:rFonts w:hint="default"/>
                <w:sz w:val="24"/>
                <w:szCs w:val="24"/>
              </w:rPr>
            </w:pPr>
            <w:r>
              <w:rPr>
                <w:b/>
                <w:sz w:val="24"/>
                <w:szCs w:val="24"/>
              </w:rPr>
              <w:t>三、工作内容要求</w:t>
            </w:r>
          </w:p>
          <w:p w14:paraId="00460023">
            <w:pPr>
              <w:pStyle w:val="7"/>
              <w:ind w:firstLine="482"/>
              <w:rPr>
                <w:rFonts w:hint="default"/>
                <w:sz w:val="24"/>
                <w:szCs w:val="24"/>
              </w:rPr>
            </w:pPr>
            <w:r>
              <w:rPr>
                <w:b/>
                <w:sz w:val="24"/>
                <w:szCs w:val="24"/>
              </w:rPr>
              <w:t xml:space="preserve">第十二条 </w:t>
            </w:r>
            <w:r>
              <w:rPr>
                <w:sz w:val="24"/>
                <w:szCs w:val="24"/>
              </w:rPr>
              <w:t>花都区土地储备控制性详细规划编制工作，主要指广州市花都区土地开发储备中心提出的土地储备用地相关规划编制，项目类型主要包括控制性详细规划修改、控制性详细规划修正和产业区块内控规深化优化（含交通影响评估）等内容，另外根据实际情况开展环境影响评估、树木保护评估、历史文化遗产评估、洪涝安全评估和防洪排涝能力提升报告。</w:t>
            </w:r>
          </w:p>
          <w:p w14:paraId="187FFD0F">
            <w:pPr>
              <w:pStyle w:val="7"/>
              <w:ind w:firstLine="482"/>
              <w:rPr>
                <w:rFonts w:hint="default"/>
                <w:sz w:val="24"/>
                <w:szCs w:val="24"/>
              </w:rPr>
            </w:pPr>
            <w:r>
              <w:rPr>
                <w:b/>
                <w:sz w:val="24"/>
                <w:szCs w:val="24"/>
              </w:rPr>
              <w:t xml:space="preserve">第十三条 </w:t>
            </w:r>
            <w:r>
              <w:rPr>
                <w:sz w:val="24"/>
                <w:szCs w:val="24"/>
              </w:rPr>
              <w:t>控制性详细规划修改</w:t>
            </w:r>
          </w:p>
          <w:p w14:paraId="011BE0BA">
            <w:pPr>
              <w:pStyle w:val="7"/>
              <w:ind w:firstLine="243"/>
              <w:rPr>
                <w:rFonts w:hint="default"/>
                <w:sz w:val="24"/>
                <w:szCs w:val="24"/>
              </w:rPr>
            </w:pPr>
            <w:r>
              <w:rPr>
                <w:sz w:val="24"/>
                <w:szCs w:val="24"/>
              </w:rPr>
              <w:t>(1)规划依据与原则。说明规划编制的依据和原则，包括已审批的上层次规划、专项规划及其它相关规划，适用的法规、规范和其它依据，规划编制所遵循的主要原则等。</w:t>
            </w:r>
          </w:p>
          <w:p w14:paraId="2588EADD">
            <w:pPr>
              <w:pStyle w:val="7"/>
              <w:ind w:firstLine="243"/>
              <w:rPr>
                <w:rFonts w:hint="default"/>
                <w:sz w:val="24"/>
                <w:szCs w:val="24"/>
              </w:rPr>
            </w:pPr>
            <w:r>
              <w:rPr>
                <w:sz w:val="24"/>
                <w:szCs w:val="24"/>
              </w:rPr>
              <w:t>(2)上层次规划情况。阐述已批准的城市总体规划、战略规划或者专项规划等上层次规划和其它相关规划对规划区范围的规划要求。</w:t>
            </w:r>
          </w:p>
          <w:p w14:paraId="10A6DB2A">
            <w:pPr>
              <w:pStyle w:val="7"/>
              <w:ind w:firstLine="243"/>
              <w:rPr>
                <w:rFonts w:hint="default"/>
                <w:sz w:val="24"/>
                <w:szCs w:val="24"/>
              </w:rPr>
            </w:pPr>
            <w:r>
              <w:rPr>
                <w:sz w:val="24"/>
                <w:szCs w:val="24"/>
              </w:rPr>
              <w:t>(3)规划调整说明。阐明本次规划对上一轮控制性详细规划的调整，说明调整依据、调整原因。</w:t>
            </w:r>
          </w:p>
          <w:p w14:paraId="6C329839">
            <w:pPr>
              <w:pStyle w:val="7"/>
              <w:ind w:firstLine="243"/>
              <w:rPr>
                <w:rFonts w:hint="default"/>
                <w:sz w:val="24"/>
                <w:szCs w:val="24"/>
              </w:rPr>
            </w:pPr>
            <w:r>
              <w:rPr>
                <w:sz w:val="24"/>
                <w:szCs w:val="24"/>
              </w:rPr>
              <w:t>(4)现状分析。在现状调查资料基础上，分析规划区现状社会经济、土地利用、公共服务设施、道路交通系统、绿地系统等方面的特征，解析问题及成因。</w:t>
            </w:r>
          </w:p>
          <w:p w14:paraId="6C06A4DC">
            <w:pPr>
              <w:pStyle w:val="7"/>
              <w:ind w:firstLine="243"/>
              <w:rPr>
                <w:rFonts w:hint="default"/>
                <w:sz w:val="24"/>
                <w:szCs w:val="24"/>
              </w:rPr>
            </w:pPr>
            <w:r>
              <w:rPr>
                <w:sz w:val="24"/>
                <w:szCs w:val="24"/>
              </w:rPr>
              <w:t>(5)用地布局。根据发展定位，从全区、规划区等层面统筹考虑的角度，分析影响规划区范围用地布局结构与功能组织的主要因素，检讨原控规土地利用规划方案，确定用地布局结构与功能组织，各类用地的分布、规模及规划要求。</w:t>
            </w:r>
          </w:p>
          <w:p w14:paraId="55EF8A53">
            <w:pPr>
              <w:pStyle w:val="7"/>
              <w:ind w:firstLine="243"/>
              <w:rPr>
                <w:rFonts w:hint="default"/>
                <w:sz w:val="24"/>
                <w:szCs w:val="24"/>
              </w:rPr>
            </w:pPr>
            <w:r>
              <w:rPr>
                <w:sz w:val="24"/>
                <w:szCs w:val="24"/>
              </w:rPr>
              <w:t>(6)多规合一。按照“多规合一”原则，对涉及地区的国民经济和社会发展规划、土地利用总体规划和各类专项规划进行协调，重点在空间上与土地利用总体规划、环境保护规划进行协调。</w:t>
            </w:r>
          </w:p>
          <w:p w14:paraId="619A7C79">
            <w:pPr>
              <w:pStyle w:val="7"/>
              <w:ind w:firstLine="243"/>
              <w:rPr>
                <w:rFonts w:hint="default"/>
                <w:sz w:val="24"/>
                <w:szCs w:val="24"/>
              </w:rPr>
            </w:pPr>
            <w:r>
              <w:rPr>
                <w:sz w:val="24"/>
                <w:szCs w:val="24"/>
              </w:rPr>
              <w:t>(7)地块及管理单元调整说明。按照规划控制的要求及项目具体情况，确定规划地块及规划管理单元的控制内容，包括：各地块的用地性质、开发强度、绿地率、建筑密度、配套设施数量等指标；各规划管理单元主导属性、总用地面积、总建筑面积、人口规模、公共服务设施、市政公用设施、绿地与广场以及文物保护等。根据实际情况，对控制指标进行必要的说明和论证。</w:t>
            </w:r>
          </w:p>
          <w:p w14:paraId="7EA6247D">
            <w:pPr>
              <w:pStyle w:val="7"/>
              <w:ind w:firstLine="243"/>
              <w:rPr>
                <w:rFonts w:hint="default"/>
                <w:sz w:val="24"/>
                <w:szCs w:val="24"/>
              </w:rPr>
            </w:pPr>
            <w:r>
              <w:rPr>
                <w:sz w:val="24"/>
                <w:szCs w:val="24"/>
              </w:rPr>
              <w:t>(8)开发强度和人口容量。结合地区的交通、设施承载力、航空限高等要求，结合周边的景观环境保护要求，综合确定各地块的开发强度和人口容量。</w:t>
            </w:r>
          </w:p>
          <w:p w14:paraId="46D2DD40">
            <w:pPr>
              <w:pStyle w:val="7"/>
              <w:ind w:firstLine="243"/>
              <w:rPr>
                <w:rFonts w:hint="default"/>
                <w:sz w:val="24"/>
                <w:szCs w:val="24"/>
              </w:rPr>
            </w:pPr>
            <w:r>
              <w:rPr>
                <w:sz w:val="24"/>
                <w:szCs w:val="24"/>
              </w:rPr>
              <w:t>(9)公共服务设施规划。根据调整的用地性质和人口容量，重新评估规划地块、规划管理单元的公共服务设施的等级、数量、规模及控制要求。</w:t>
            </w:r>
          </w:p>
          <w:p w14:paraId="227EB43F">
            <w:pPr>
              <w:pStyle w:val="7"/>
              <w:ind w:firstLine="243"/>
              <w:rPr>
                <w:rFonts w:hint="default"/>
                <w:sz w:val="24"/>
                <w:szCs w:val="24"/>
              </w:rPr>
            </w:pPr>
            <w:r>
              <w:rPr>
                <w:sz w:val="24"/>
                <w:szCs w:val="24"/>
              </w:rPr>
              <w:t>(10)道路交通规划。根据上层次规划确定的控制及规划要求，处理好规划调整地块与周边道路衔接关系，对各类交通设施（含道路、公交、停车等）的布局、规模、用地范围等进行统筹安排；明确对原有规划道路的调整情况，并对调整原因进行详细说明。</w:t>
            </w:r>
          </w:p>
          <w:p w14:paraId="71D5A01D">
            <w:pPr>
              <w:pStyle w:val="7"/>
              <w:ind w:firstLine="243"/>
              <w:rPr>
                <w:rFonts w:hint="default"/>
                <w:sz w:val="24"/>
                <w:szCs w:val="24"/>
              </w:rPr>
            </w:pPr>
            <w:r>
              <w:rPr>
                <w:sz w:val="24"/>
                <w:szCs w:val="24"/>
              </w:rPr>
              <w:t>(11)总平面概念方案。明确设计范围在区域层面的空间结构位置，提出整体的空间形态意向，对河流沿线、重要道路沿线重要节点、视廊、视点、视域等景观构成要素提出控制和引导要求，明确调整地块的总平面布局概念方案。</w:t>
            </w:r>
          </w:p>
          <w:p w14:paraId="2B6C6076">
            <w:pPr>
              <w:pStyle w:val="7"/>
              <w:ind w:firstLine="482"/>
              <w:rPr>
                <w:rFonts w:hint="default"/>
                <w:sz w:val="24"/>
                <w:szCs w:val="24"/>
              </w:rPr>
            </w:pPr>
            <w:r>
              <w:rPr>
                <w:b/>
                <w:sz w:val="24"/>
                <w:szCs w:val="24"/>
              </w:rPr>
              <w:t xml:space="preserve">第十四条 </w:t>
            </w:r>
            <w:r>
              <w:rPr>
                <w:sz w:val="24"/>
                <w:szCs w:val="24"/>
              </w:rPr>
              <w:t>交通影响评估与环境影响评估</w:t>
            </w:r>
          </w:p>
          <w:p w14:paraId="77BD664E">
            <w:pPr>
              <w:pStyle w:val="7"/>
              <w:ind w:firstLine="464"/>
              <w:rPr>
                <w:rFonts w:hint="default"/>
                <w:sz w:val="24"/>
                <w:szCs w:val="24"/>
              </w:rPr>
            </w:pPr>
            <w:r>
              <w:rPr>
                <w:sz w:val="24"/>
                <w:szCs w:val="24"/>
              </w:rPr>
              <w:t>根据审批部门的要求，完成交通影响评估报告与环境影响评估报告，明确控规调整的可行性，评估成果形式需符合审议要求。</w:t>
            </w:r>
          </w:p>
          <w:p w14:paraId="380ABD91">
            <w:pPr>
              <w:pStyle w:val="7"/>
              <w:ind w:firstLine="482"/>
              <w:rPr>
                <w:rFonts w:hint="default"/>
                <w:sz w:val="24"/>
                <w:szCs w:val="24"/>
              </w:rPr>
            </w:pPr>
            <w:r>
              <w:rPr>
                <w:b/>
                <w:sz w:val="24"/>
                <w:szCs w:val="24"/>
              </w:rPr>
              <w:t xml:space="preserve">第十五条 </w:t>
            </w:r>
            <w:r>
              <w:rPr>
                <w:sz w:val="24"/>
                <w:szCs w:val="24"/>
              </w:rPr>
              <w:t>控制性详细规划修正</w:t>
            </w:r>
          </w:p>
          <w:p w14:paraId="0F1727A4">
            <w:pPr>
              <w:pStyle w:val="7"/>
              <w:ind w:firstLine="480"/>
              <w:rPr>
                <w:rFonts w:hint="default"/>
                <w:sz w:val="24"/>
                <w:szCs w:val="24"/>
              </w:rPr>
            </w:pPr>
            <w:r>
              <w:rPr>
                <w:sz w:val="24"/>
                <w:szCs w:val="24"/>
              </w:rPr>
              <w:t>结合广州市市权下放、简化审批流程的要求，部分控规修改工作下放各区政府，按照控规修正进行审批，规划论证报告内容仍按控规修改成果完成，相关交通影响评估和环境影响评估，按相关部门要求进行选做。</w:t>
            </w:r>
          </w:p>
          <w:p w14:paraId="06586864">
            <w:pPr>
              <w:pStyle w:val="7"/>
              <w:ind w:firstLine="482"/>
              <w:rPr>
                <w:rFonts w:hint="default"/>
                <w:sz w:val="24"/>
                <w:szCs w:val="24"/>
              </w:rPr>
            </w:pPr>
            <w:r>
              <w:rPr>
                <w:b/>
                <w:sz w:val="24"/>
                <w:szCs w:val="24"/>
              </w:rPr>
              <w:t xml:space="preserve">第十六条 </w:t>
            </w:r>
            <w:r>
              <w:rPr>
                <w:sz w:val="24"/>
                <w:szCs w:val="24"/>
              </w:rPr>
              <w:t>其他专项评估工作</w:t>
            </w:r>
          </w:p>
          <w:p w14:paraId="08A98572">
            <w:pPr>
              <w:pStyle w:val="7"/>
              <w:ind w:firstLine="480"/>
              <w:rPr>
                <w:rFonts w:hint="default"/>
                <w:sz w:val="24"/>
                <w:szCs w:val="24"/>
              </w:rPr>
            </w:pPr>
            <w:r>
              <w:rPr>
                <w:sz w:val="24"/>
                <w:szCs w:val="24"/>
              </w:rPr>
              <w:t>按照规划审批要求需开展环境影响评估、树木保护专章、历史文化遗产评估、洪涝安全评估及防洪排涝能力提升报告。</w:t>
            </w:r>
          </w:p>
          <w:p w14:paraId="6A7113F8">
            <w:pPr>
              <w:pStyle w:val="7"/>
              <w:jc w:val="center"/>
              <w:rPr>
                <w:rFonts w:hint="default"/>
                <w:sz w:val="24"/>
                <w:szCs w:val="24"/>
              </w:rPr>
            </w:pPr>
            <w:r>
              <w:rPr>
                <w:b/>
                <w:sz w:val="24"/>
                <w:szCs w:val="24"/>
              </w:rPr>
              <w:t>四、规划成果要求</w:t>
            </w:r>
          </w:p>
          <w:p w14:paraId="0F17FBB8">
            <w:pPr>
              <w:pStyle w:val="7"/>
              <w:ind w:firstLine="482"/>
              <w:rPr>
                <w:rFonts w:hint="default"/>
                <w:sz w:val="24"/>
                <w:szCs w:val="24"/>
              </w:rPr>
            </w:pPr>
            <w:r>
              <w:rPr>
                <w:b/>
                <w:sz w:val="24"/>
                <w:szCs w:val="24"/>
              </w:rPr>
              <w:t>第十七条</w:t>
            </w:r>
            <w:r>
              <w:rPr>
                <w:sz w:val="24"/>
                <w:szCs w:val="24"/>
              </w:rPr>
              <w:t xml:space="preserve"> 规划成果必须符合工作内容中有关章节规定的要求，并达到审批部门要求。</w:t>
            </w:r>
          </w:p>
          <w:p w14:paraId="26208787">
            <w:pPr>
              <w:pStyle w:val="7"/>
              <w:ind w:firstLine="482"/>
              <w:rPr>
                <w:rFonts w:hint="default"/>
                <w:sz w:val="24"/>
                <w:szCs w:val="24"/>
              </w:rPr>
            </w:pPr>
            <w:r>
              <w:rPr>
                <w:b/>
                <w:sz w:val="24"/>
                <w:szCs w:val="24"/>
              </w:rPr>
              <w:t xml:space="preserve">第十八条 </w:t>
            </w:r>
            <w:r>
              <w:rPr>
                <w:sz w:val="24"/>
                <w:szCs w:val="24"/>
              </w:rPr>
              <w:t>规划成果必须做到清晰、完整、表达准确，同类图纸规格应尽量统一。</w:t>
            </w:r>
          </w:p>
          <w:p w14:paraId="48FC1D09">
            <w:pPr>
              <w:pStyle w:val="7"/>
              <w:ind w:firstLine="482"/>
              <w:rPr>
                <w:rFonts w:hint="default"/>
                <w:sz w:val="24"/>
                <w:szCs w:val="24"/>
              </w:rPr>
            </w:pPr>
            <w:r>
              <w:rPr>
                <w:b/>
                <w:sz w:val="24"/>
                <w:szCs w:val="24"/>
              </w:rPr>
              <w:t xml:space="preserve">第十九条 </w:t>
            </w:r>
            <w:r>
              <w:rPr>
                <w:sz w:val="24"/>
                <w:szCs w:val="24"/>
              </w:rPr>
              <w:t>根据审查环节的需要，在提交规划成果进行审查的每个环节，设计单位均应提供符合规划内容要求的图纸全本或简本，数量以满足审查要求为准，装订规格为A3（297×420mm）或A4（297×210mm）。</w:t>
            </w:r>
          </w:p>
          <w:p w14:paraId="0AF2B7B1">
            <w:pPr>
              <w:pStyle w:val="7"/>
              <w:ind w:firstLine="482"/>
              <w:rPr>
                <w:rFonts w:hint="default"/>
                <w:sz w:val="24"/>
                <w:szCs w:val="24"/>
              </w:rPr>
            </w:pPr>
            <w:r>
              <w:rPr>
                <w:b/>
                <w:sz w:val="24"/>
                <w:szCs w:val="24"/>
              </w:rPr>
              <w:t xml:space="preserve">第二十条 </w:t>
            </w:r>
            <w:r>
              <w:rPr>
                <w:sz w:val="24"/>
                <w:szCs w:val="24"/>
              </w:rPr>
              <w:t>设计成果电子文件要求：本规划全部设计成果均应按照广州市“多规合一”信息平台和城乡规划“一张图”信息平台建设的要求制作成电子文件。文本文件采用可编辑的原始（word或indesign或ppt排版文件）格式，图形文件采用AutoCad的dwg格式和JPG格式，以上电子文件要求提交光盘3套。</w:t>
            </w:r>
          </w:p>
          <w:p w14:paraId="1C7DB77A">
            <w:pPr>
              <w:pStyle w:val="7"/>
              <w:jc w:val="center"/>
              <w:rPr>
                <w:rFonts w:hint="default"/>
                <w:sz w:val="24"/>
                <w:szCs w:val="24"/>
              </w:rPr>
            </w:pPr>
            <w:r>
              <w:rPr>
                <w:b/>
                <w:sz w:val="24"/>
                <w:szCs w:val="24"/>
              </w:rPr>
              <w:t>五、成果报送及审查规定</w:t>
            </w:r>
          </w:p>
          <w:p w14:paraId="1DF48350">
            <w:pPr>
              <w:pStyle w:val="7"/>
              <w:ind w:firstLine="482"/>
              <w:rPr>
                <w:rFonts w:hint="default"/>
                <w:sz w:val="24"/>
                <w:szCs w:val="24"/>
              </w:rPr>
            </w:pPr>
            <w:r>
              <w:rPr>
                <w:b/>
                <w:sz w:val="24"/>
                <w:szCs w:val="24"/>
              </w:rPr>
              <w:t xml:space="preserve">第二十一条 </w:t>
            </w:r>
            <w:r>
              <w:rPr>
                <w:sz w:val="24"/>
                <w:szCs w:val="24"/>
              </w:rPr>
              <w:t>规划设计单位需负责提供各审查阶段所必需的成果、方案介绍等汇报资料。</w:t>
            </w:r>
          </w:p>
          <w:p w14:paraId="485E4C2F">
            <w:pPr>
              <w:pStyle w:val="7"/>
              <w:ind w:firstLine="482"/>
              <w:rPr>
                <w:rFonts w:hint="default"/>
                <w:sz w:val="24"/>
                <w:szCs w:val="24"/>
              </w:rPr>
            </w:pPr>
            <w:r>
              <w:rPr>
                <w:b/>
                <w:sz w:val="24"/>
                <w:szCs w:val="24"/>
              </w:rPr>
              <w:t xml:space="preserve">第二十二条 </w:t>
            </w:r>
            <w:r>
              <w:rPr>
                <w:sz w:val="24"/>
                <w:szCs w:val="24"/>
              </w:rPr>
              <w:t>各阶段成果报送的规划设计文件，规划设计单位必须于审查前3天提交广州市规划和自然资源局花都区分局及广州市花都区土地开发储备中心，经清点文件后签收登记。</w:t>
            </w:r>
          </w:p>
          <w:p w14:paraId="649D82C9">
            <w:pPr>
              <w:pStyle w:val="7"/>
              <w:ind w:firstLine="482"/>
              <w:rPr>
                <w:rFonts w:hint="default"/>
                <w:sz w:val="24"/>
                <w:szCs w:val="24"/>
              </w:rPr>
            </w:pPr>
            <w:r>
              <w:rPr>
                <w:b/>
                <w:sz w:val="24"/>
                <w:szCs w:val="24"/>
              </w:rPr>
              <w:t xml:space="preserve">第二十三条 </w:t>
            </w:r>
            <w:r>
              <w:rPr>
                <w:sz w:val="24"/>
                <w:szCs w:val="24"/>
              </w:rPr>
              <w:t>规划设计单位提交的成果应在方案图纸和文本缩印本上标注委托单位名称、设计单位名称、设计人员名单、法定代表人（或法定代表人委托代理人），并盖印公章。</w:t>
            </w:r>
          </w:p>
          <w:p w14:paraId="09AF3F73">
            <w:pPr>
              <w:pStyle w:val="7"/>
              <w:ind w:firstLine="482"/>
              <w:rPr>
                <w:rFonts w:hint="default"/>
                <w:sz w:val="24"/>
                <w:szCs w:val="24"/>
              </w:rPr>
            </w:pPr>
            <w:r>
              <w:rPr>
                <w:b/>
                <w:sz w:val="24"/>
                <w:szCs w:val="24"/>
              </w:rPr>
              <w:t xml:space="preserve">第二十四条 </w:t>
            </w:r>
            <w:r>
              <w:rPr>
                <w:sz w:val="24"/>
                <w:szCs w:val="24"/>
              </w:rPr>
              <w:t>项目的规划调整通过审批部门批准，成果材料经广州市规划和自然资源局花都区分局技术审查同意并予以结题。技术服务单位凭结题材料及最终成果文件向广州市花都区土地开发储备中心结算资金。</w:t>
            </w:r>
          </w:p>
          <w:p w14:paraId="2321DDDE">
            <w:pPr>
              <w:pStyle w:val="7"/>
              <w:ind w:firstLine="482"/>
              <w:rPr>
                <w:rFonts w:hint="default"/>
                <w:sz w:val="24"/>
                <w:szCs w:val="24"/>
              </w:rPr>
            </w:pPr>
            <w:r>
              <w:rPr>
                <w:b/>
                <w:sz w:val="24"/>
                <w:szCs w:val="24"/>
              </w:rPr>
              <w:t xml:space="preserve">第二十五条 </w:t>
            </w:r>
            <w:r>
              <w:rPr>
                <w:sz w:val="24"/>
                <w:szCs w:val="24"/>
              </w:rPr>
              <w:t>单个项目原则上需在接受委托起半年内完成规划调整，确因审查原因、具体地块复杂或其他非技术服务单位原因造成无法按期完成的，项目完成的时间可适当延后。具体时间由规划设计单位与规划组织单位协商确定。</w:t>
            </w:r>
          </w:p>
          <w:p w14:paraId="6549653D">
            <w:pPr>
              <w:pStyle w:val="7"/>
              <w:jc w:val="center"/>
              <w:rPr>
                <w:rFonts w:hint="default"/>
                <w:sz w:val="24"/>
                <w:szCs w:val="24"/>
              </w:rPr>
            </w:pPr>
            <w:r>
              <w:rPr>
                <w:b/>
                <w:sz w:val="24"/>
                <w:szCs w:val="24"/>
              </w:rPr>
              <w:t>六、费用结算</w:t>
            </w:r>
          </w:p>
          <w:p w14:paraId="4BBDBBF6">
            <w:pPr>
              <w:pStyle w:val="7"/>
              <w:ind w:firstLine="482"/>
              <w:rPr>
                <w:rFonts w:hint="default"/>
                <w:sz w:val="24"/>
                <w:szCs w:val="24"/>
              </w:rPr>
            </w:pPr>
            <w:r>
              <w:rPr>
                <w:b/>
                <w:sz w:val="24"/>
                <w:szCs w:val="24"/>
              </w:rPr>
              <w:t xml:space="preserve">第二十六条 </w:t>
            </w:r>
            <w:r>
              <w:rPr>
                <w:sz w:val="24"/>
                <w:szCs w:val="24"/>
              </w:rPr>
              <w:t>费用总控制价</w:t>
            </w:r>
          </w:p>
          <w:p w14:paraId="48E0AE4C">
            <w:pPr>
              <w:pStyle w:val="7"/>
              <w:ind w:firstLine="480"/>
              <w:rPr>
                <w:rFonts w:hint="default"/>
                <w:sz w:val="24"/>
                <w:szCs w:val="24"/>
              </w:rPr>
            </w:pPr>
            <w:r>
              <w:rPr>
                <w:sz w:val="24"/>
                <w:szCs w:val="24"/>
              </w:rPr>
              <w:t>费用总控制价为人民币3000万元整（含税）。</w:t>
            </w:r>
          </w:p>
          <w:p w14:paraId="6E8B82F5">
            <w:pPr>
              <w:pStyle w:val="7"/>
              <w:ind w:firstLine="482"/>
              <w:rPr>
                <w:rFonts w:hint="default"/>
                <w:sz w:val="24"/>
                <w:szCs w:val="24"/>
              </w:rPr>
            </w:pPr>
            <w:r>
              <w:rPr>
                <w:b/>
                <w:sz w:val="24"/>
                <w:szCs w:val="24"/>
              </w:rPr>
              <w:t xml:space="preserve">第二十七条 </w:t>
            </w:r>
            <w:r>
              <w:rPr>
                <w:sz w:val="24"/>
                <w:szCs w:val="24"/>
              </w:rPr>
              <w:t>报价方式与支付方式</w:t>
            </w:r>
          </w:p>
          <w:p w14:paraId="792BD9AD">
            <w:pPr>
              <w:pStyle w:val="7"/>
              <w:ind w:firstLine="480"/>
              <w:rPr>
                <w:rFonts w:hint="default"/>
                <w:sz w:val="24"/>
                <w:szCs w:val="24"/>
              </w:rPr>
            </w:pPr>
            <w:r>
              <w:rPr>
                <w:sz w:val="24"/>
                <w:szCs w:val="24"/>
              </w:rPr>
              <w:t>1.本项目总金额为3000万元（含税），服务期限两年，按照采购人具体委托实施项目进行结算。单个项目基准费用参照《广东省城市规划收费标准的建议》（行业指导价，2003）的有关规定执行，但不超过本条第2点规定的最高限价；特殊情况，可由采购人与中标人另行协商确定。</w:t>
            </w:r>
          </w:p>
          <w:p w14:paraId="224AB89C">
            <w:pPr>
              <w:pStyle w:val="7"/>
              <w:ind w:firstLine="480"/>
              <w:rPr>
                <w:rFonts w:hint="default"/>
                <w:sz w:val="24"/>
                <w:szCs w:val="24"/>
              </w:rPr>
            </w:pPr>
            <w:r>
              <w:rPr>
                <w:sz w:val="24"/>
                <w:szCs w:val="24"/>
              </w:rPr>
              <w:t>2.最高限价：</w:t>
            </w:r>
          </w:p>
          <w:p w14:paraId="27990EC4">
            <w:pPr>
              <w:pStyle w:val="7"/>
              <w:ind w:left="-45" w:firstLine="480"/>
              <w:rPr>
                <w:rFonts w:hint="default"/>
                <w:sz w:val="24"/>
                <w:szCs w:val="24"/>
              </w:rPr>
            </w:pPr>
            <w:r>
              <w:rPr>
                <w:sz w:val="24"/>
                <w:szCs w:val="24"/>
              </w:rPr>
              <w:t>(1)控制性详细规划修改：</w:t>
            </w:r>
          </w:p>
          <w:p w14:paraId="2EA2FB2F">
            <w:pPr>
              <w:pStyle w:val="7"/>
              <w:ind w:firstLine="480"/>
              <w:rPr>
                <w:rFonts w:hint="default"/>
                <w:sz w:val="24"/>
                <w:szCs w:val="24"/>
                <w:lang w:eastAsia="zh-CN"/>
              </w:rPr>
            </w:pPr>
            <w:r>
              <w:rPr>
                <w:sz w:val="24"/>
                <w:szCs w:val="24"/>
              </w:rPr>
              <w:t>单个规划管理单元控规修改项目，每个项目总费用不高于77万元（含交通影响评估篇章）。</w:t>
            </w:r>
          </w:p>
          <w:p w14:paraId="18F2A76D">
            <w:pPr>
              <w:pStyle w:val="7"/>
              <w:ind w:firstLine="480"/>
              <w:rPr>
                <w:rFonts w:hint="default"/>
                <w:sz w:val="24"/>
                <w:szCs w:val="24"/>
                <w:lang w:eastAsia="zh-CN"/>
              </w:rPr>
            </w:pPr>
            <w:r>
              <w:rPr>
                <w:sz w:val="24"/>
                <w:szCs w:val="24"/>
              </w:rPr>
              <w:t>涉及多个规划管理单元片区控规调整项目（规划管理单元超过1个的且面积超过200公顷），每个项目总费用不高于151万元（含交通影响评估篇章）。</w:t>
            </w:r>
          </w:p>
          <w:p w14:paraId="742F71CE">
            <w:pPr>
              <w:pStyle w:val="7"/>
              <w:ind w:firstLine="480"/>
              <w:rPr>
                <w:rFonts w:hint="default"/>
                <w:sz w:val="24"/>
                <w:szCs w:val="24"/>
                <w:lang w:eastAsia="zh-CN"/>
              </w:rPr>
            </w:pPr>
            <w:r>
              <w:rPr>
                <w:sz w:val="24"/>
                <w:szCs w:val="24"/>
              </w:rPr>
              <w:t>(2)控制性详细规划修正项目或产业区块内控规深化优化项目：工业用地不高于30万元/个（含交通影响评估篇章），居住、商业等其他用用地不高于40万元/个（含交通影响评估篇章）。</w:t>
            </w:r>
          </w:p>
          <w:p w14:paraId="5B7378CC">
            <w:pPr>
              <w:pStyle w:val="7"/>
              <w:ind w:left="-45" w:firstLine="480"/>
              <w:rPr>
                <w:rFonts w:hint="default"/>
                <w:sz w:val="24"/>
                <w:szCs w:val="24"/>
                <w:lang w:eastAsia="zh-CN"/>
              </w:rPr>
            </w:pPr>
            <w:r>
              <w:rPr>
                <w:sz w:val="24"/>
                <w:szCs w:val="24"/>
              </w:rPr>
              <w:t>(3)环境影响评估：如需编制环境影响报告书，报价45万/个，如需编制环境影响篇章，报价20万/个。</w:t>
            </w:r>
          </w:p>
          <w:p w14:paraId="19351033">
            <w:pPr>
              <w:pStyle w:val="7"/>
              <w:ind w:left="-45" w:firstLine="480"/>
              <w:rPr>
                <w:rFonts w:hint="default"/>
                <w:sz w:val="24"/>
                <w:szCs w:val="24"/>
              </w:rPr>
            </w:pPr>
            <w:r>
              <w:rPr>
                <w:sz w:val="24"/>
                <w:szCs w:val="24"/>
              </w:rPr>
              <w:t>(</w:t>
            </w:r>
            <w:r>
              <w:rPr>
                <w:sz w:val="24"/>
                <w:szCs w:val="24"/>
                <w:lang w:eastAsia="zh-CN"/>
              </w:rPr>
              <w:t>4</w:t>
            </w:r>
            <w:r>
              <w:rPr>
                <w:sz w:val="24"/>
                <w:szCs w:val="24"/>
              </w:rPr>
              <w:t>)树木保护评估：规划范围不大于2平方公里，报价15万元。规划范围超过2平方公里，按照上述价格上浮10万计费，即报价25万元。</w:t>
            </w:r>
          </w:p>
          <w:p w14:paraId="23BB3B09">
            <w:pPr>
              <w:pStyle w:val="7"/>
              <w:ind w:left="-45" w:firstLine="480"/>
              <w:rPr>
                <w:rFonts w:hint="default"/>
                <w:sz w:val="24"/>
                <w:szCs w:val="24"/>
              </w:rPr>
            </w:pPr>
            <w:r>
              <w:rPr>
                <w:sz w:val="24"/>
                <w:szCs w:val="24"/>
              </w:rPr>
              <w:t>(</w:t>
            </w:r>
            <w:r>
              <w:rPr>
                <w:sz w:val="24"/>
                <w:szCs w:val="24"/>
                <w:lang w:eastAsia="zh-CN"/>
              </w:rPr>
              <w:t>5</w:t>
            </w:r>
            <w:r>
              <w:rPr>
                <w:sz w:val="24"/>
                <w:szCs w:val="24"/>
              </w:rPr>
              <w:t>)历史文化遗产评估：规划范围不大于2平方公里，报价15万元。规划范围超过2平方公里，按照上述价格上浮10万元计费，即报价25万元。</w:t>
            </w:r>
          </w:p>
          <w:p w14:paraId="60D49F2F">
            <w:pPr>
              <w:pStyle w:val="7"/>
              <w:ind w:left="-45" w:firstLine="480"/>
              <w:rPr>
                <w:rFonts w:hint="default"/>
                <w:sz w:val="24"/>
                <w:szCs w:val="24"/>
              </w:rPr>
            </w:pPr>
            <w:r>
              <w:rPr>
                <w:sz w:val="24"/>
                <w:szCs w:val="24"/>
              </w:rPr>
              <w:t>(</w:t>
            </w:r>
            <w:r>
              <w:rPr>
                <w:sz w:val="24"/>
                <w:szCs w:val="24"/>
                <w:lang w:eastAsia="zh-CN"/>
              </w:rPr>
              <w:t>6</w:t>
            </w:r>
            <w:r>
              <w:rPr>
                <w:sz w:val="24"/>
                <w:szCs w:val="24"/>
              </w:rPr>
              <w:t>)洪涝安全评估：规划范围不大于2平方公里，报价15万元。规划范围超过2平方公里，按照上述价格2倍计费，即报价30万元。</w:t>
            </w:r>
          </w:p>
          <w:p w14:paraId="57EBC2E3">
            <w:pPr>
              <w:pStyle w:val="7"/>
              <w:ind w:left="-45" w:firstLine="480"/>
              <w:rPr>
                <w:rFonts w:hint="default"/>
                <w:sz w:val="24"/>
                <w:szCs w:val="24"/>
              </w:rPr>
            </w:pPr>
            <w:r>
              <w:rPr>
                <w:sz w:val="24"/>
                <w:szCs w:val="24"/>
              </w:rPr>
              <w:t>(</w:t>
            </w:r>
            <w:r>
              <w:rPr>
                <w:sz w:val="24"/>
                <w:szCs w:val="24"/>
                <w:lang w:eastAsia="zh-CN"/>
              </w:rPr>
              <w:t>7</w:t>
            </w:r>
            <w:r>
              <w:rPr>
                <w:sz w:val="24"/>
                <w:szCs w:val="24"/>
              </w:rPr>
              <w:t>)防洪排涝能力提升报告：规划范围不大于2平方公里，报价15万元。规划范围超过2平方公里，按照上述价格上浮10万元计费，即报价25万元。</w:t>
            </w:r>
          </w:p>
          <w:p w14:paraId="0AA05F20">
            <w:pPr>
              <w:pStyle w:val="7"/>
              <w:ind w:left="-45" w:firstLine="480"/>
              <w:rPr>
                <w:rFonts w:hint="default"/>
                <w:sz w:val="24"/>
                <w:szCs w:val="24"/>
              </w:rPr>
            </w:pPr>
            <w:r>
              <w:rPr>
                <w:sz w:val="24"/>
                <w:szCs w:val="24"/>
              </w:rPr>
              <w:t>(</w:t>
            </w:r>
            <w:r>
              <w:rPr>
                <w:sz w:val="24"/>
                <w:szCs w:val="24"/>
                <w:lang w:eastAsia="zh-CN"/>
              </w:rPr>
              <w:t>8</w:t>
            </w:r>
            <w:r>
              <w:rPr>
                <w:sz w:val="24"/>
                <w:szCs w:val="24"/>
              </w:rPr>
              <w:t>)如项目涉及除上述以外的其他专项评估将另行委托开展，不计入本次项目服务。</w:t>
            </w:r>
          </w:p>
          <w:p w14:paraId="456E0E3D">
            <w:pPr>
              <w:pStyle w:val="7"/>
              <w:ind w:firstLine="480"/>
              <w:rPr>
                <w:rFonts w:hint="default"/>
                <w:sz w:val="24"/>
                <w:szCs w:val="24"/>
                <w:highlight w:val="none"/>
              </w:rPr>
            </w:pPr>
            <w:r>
              <w:rPr>
                <w:sz w:val="24"/>
                <w:szCs w:val="24"/>
              </w:rPr>
              <w:t>3.本项目投</w:t>
            </w:r>
            <w:r>
              <w:rPr>
                <w:sz w:val="24"/>
                <w:szCs w:val="24"/>
                <w:highlight w:val="none"/>
              </w:rPr>
              <w:t>标人须以投标</w:t>
            </w:r>
            <w:r>
              <w:rPr>
                <w:rFonts w:hint="eastAsia"/>
                <w:sz w:val="24"/>
                <w:szCs w:val="24"/>
                <w:highlight w:val="none"/>
                <w:lang w:eastAsia="zh-CN"/>
              </w:rPr>
              <w:t>折扣</w:t>
            </w:r>
            <w:r>
              <w:rPr>
                <w:sz w:val="24"/>
                <w:szCs w:val="24"/>
                <w:highlight w:val="none"/>
              </w:rPr>
              <w:t>的形式进行报价，统一对本项目所有服务内容报一个投标</w:t>
            </w:r>
            <w:r>
              <w:rPr>
                <w:rFonts w:hint="eastAsia"/>
                <w:sz w:val="24"/>
                <w:szCs w:val="24"/>
                <w:highlight w:val="none"/>
                <w:lang w:eastAsia="zh-CN"/>
              </w:rPr>
              <w:t>折扣</w:t>
            </w:r>
            <w:r>
              <w:rPr>
                <w:sz w:val="24"/>
                <w:szCs w:val="24"/>
                <w:highlight w:val="none"/>
              </w:rPr>
              <w:t>，不接受有选择性报价，投标</w:t>
            </w:r>
            <w:r>
              <w:rPr>
                <w:rFonts w:hint="eastAsia"/>
                <w:sz w:val="24"/>
                <w:szCs w:val="24"/>
                <w:highlight w:val="none"/>
                <w:lang w:eastAsia="zh-CN"/>
              </w:rPr>
              <w:t>折扣</w:t>
            </w:r>
            <w:r>
              <w:rPr>
                <w:sz w:val="24"/>
                <w:szCs w:val="24"/>
                <w:highlight w:val="none"/>
              </w:rPr>
              <w:t>必须为固定值（如</w:t>
            </w:r>
            <w:r>
              <w:rPr>
                <w:rFonts w:hint="eastAsia"/>
                <w:sz w:val="24"/>
                <w:szCs w:val="24"/>
                <w:highlight w:val="none"/>
                <w:lang w:val="en-US" w:eastAsia="zh-CN"/>
              </w:rPr>
              <w:t>90</w:t>
            </w:r>
            <w:r>
              <w:rPr>
                <w:sz w:val="24"/>
                <w:szCs w:val="24"/>
                <w:highlight w:val="none"/>
              </w:rPr>
              <w:t>%），不得存在区间值（如</w:t>
            </w:r>
            <w:r>
              <w:rPr>
                <w:rFonts w:hint="eastAsia"/>
                <w:sz w:val="24"/>
                <w:szCs w:val="24"/>
                <w:highlight w:val="none"/>
                <w:lang w:val="en-US" w:eastAsia="zh-CN"/>
              </w:rPr>
              <w:t>90</w:t>
            </w:r>
            <w:r>
              <w:rPr>
                <w:sz w:val="24"/>
                <w:szCs w:val="24"/>
                <w:highlight w:val="none"/>
              </w:rPr>
              <w:t>-</w:t>
            </w:r>
            <w:r>
              <w:rPr>
                <w:rFonts w:hint="eastAsia"/>
                <w:sz w:val="24"/>
                <w:szCs w:val="24"/>
                <w:highlight w:val="none"/>
                <w:lang w:val="en-US" w:eastAsia="zh-CN"/>
              </w:rPr>
              <w:t>80</w:t>
            </w:r>
            <w:r>
              <w:rPr>
                <w:sz w:val="24"/>
                <w:szCs w:val="24"/>
                <w:highlight w:val="none"/>
              </w:rPr>
              <w:t>%），所报的投标</w:t>
            </w:r>
            <w:r>
              <w:rPr>
                <w:rFonts w:hint="eastAsia"/>
                <w:sz w:val="24"/>
                <w:szCs w:val="24"/>
                <w:highlight w:val="none"/>
                <w:lang w:eastAsia="zh-CN"/>
              </w:rPr>
              <w:t>折扣</w:t>
            </w:r>
            <w:r>
              <w:rPr>
                <w:sz w:val="24"/>
                <w:szCs w:val="24"/>
                <w:highlight w:val="none"/>
              </w:rPr>
              <w:t>应当适用于采购人所采购的每项服务，否则投标无效。</w:t>
            </w:r>
          </w:p>
          <w:p w14:paraId="2A251C2B">
            <w:pPr>
              <w:pStyle w:val="7"/>
              <w:ind w:firstLine="480"/>
              <w:rPr>
                <w:rFonts w:hint="default"/>
                <w:sz w:val="24"/>
                <w:szCs w:val="24"/>
                <w:highlight w:val="none"/>
              </w:rPr>
            </w:pPr>
            <w:r>
              <w:rPr>
                <w:rFonts w:hint="eastAsia"/>
                <w:sz w:val="24"/>
                <w:szCs w:val="24"/>
                <w:highlight w:val="none"/>
                <w:lang w:val="en-US" w:eastAsia="zh-CN"/>
              </w:rPr>
              <w:t>0</w:t>
            </w:r>
            <w:r>
              <w:rPr>
                <w:sz w:val="24"/>
                <w:szCs w:val="24"/>
                <w:highlight w:val="none"/>
              </w:rPr>
              <w:t>％</w:t>
            </w:r>
            <w:r>
              <w:rPr>
                <w:rFonts w:hint="eastAsia"/>
                <w:sz w:val="24"/>
                <w:szCs w:val="24"/>
                <w:highlight w:val="none"/>
                <w:lang w:val="en-US" w:eastAsia="zh-CN"/>
              </w:rPr>
              <w:t>＜</w:t>
            </w:r>
            <w:r>
              <w:rPr>
                <w:sz w:val="24"/>
                <w:szCs w:val="24"/>
                <w:highlight w:val="none"/>
              </w:rPr>
              <w:t>投标</w:t>
            </w:r>
            <w:r>
              <w:rPr>
                <w:rFonts w:hint="eastAsia"/>
                <w:sz w:val="24"/>
                <w:szCs w:val="24"/>
                <w:highlight w:val="none"/>
                <w:lang w:eastAsia="zh-CN"/>
              </w:rPr>
              <w:t>折扣</w:t>
            </w:r>
            <w:r>
              <w:rPr>
                <w:sz w:val="24"/>
                <w:szCs w:val="24"/>
                <w:highlight w:val="none"/>
              </w:rPr>
              <w:t>≤100％，结算费用=单个项目基准费用×中标</w:t>
            </w:r>
            <w:r>
              <w:rPr>
                <w:rFonts w:hint="eastAsia"/>
                <w:sz w:val="24"/>
                <w:szCs w:val="24"/>
                <w:highlight w:val="none"/>
                <w:lang w:eastAsia="zh-CN"/>
              </w:rPr>
              <w:t>折扣</w:t>
            </w:r>
            <w:r>
              <w:rPr>
                <w:sz w:val="24"/>
                <w:szCs w:val="24"/>
                <w:highlight w:val="none"/>
              </w:rPr>
              <w:t>，最终的结算金额按四舍五入原则精确到小数点后两位。投标报价应在合理范围之内，过低的投标报价可能被视为低于成本价而导致投标报价无效。</w:t>
            </w:r>
          </w:p>
          <w:p w14:paraId="6CB66793">
            <w:pPr>
              <w:pStyle w:val="7"/>
              <w:ind w:firstLine="480"/>
              <w:rPr>
                <w:rFonts w:hint="default"/>
                <w:sz w:val="24"/>
                <w:szCs w:val="24"/>
                <w:highlight w:val="none"/>
              </w:rPr>
            </w:pPr>
            <w:r>
              <w:rPr>
                <w:sz w:val="24"/>
                <w:szCs w:val="24"/>
                <w:highlight w:val="none"/>
              </w:rPr>
              <w:t>5.由采购人按下列程序付款：</w:t>
            </w:r>
          </w:p>
          <w:p w14:paraId="2CB056F5">
            <w:pPr>
              <w:pStyle w:val="7"/>
              <w:ind w:firstLine="480"/>
              <w:rPr>
                <w:rFonts w:hint="default"/>
                <w:sz w:val="24"/>
                <w:szCs w:val="24"/>
              </w:rPr>
            </w:pPr>
            <w:r>
              <w:rPr>
                <w:sz w:val="24"/>
                <w:szCs w:val="24"/>
                <w:highlight w:val="none"/>
              </w:rPr>
              <w:t>第一期支付比例40%：确定中标人后，应与采购人签订项目总合同，合同生效后，根据采购人下达的每项具体工作和实际委托项目费用，由采购人按照基准费用（不超过最高限价）及中标</w:t>
            </w:r>
            <w:r>
              <w:rPr>
                <w:rFonts w:hint="eastAsia"/>
                <w:sz w:val="24"/>
                <w:szCs w:val="24"/>
                <w:highlight w:val="none"/>
                <w:lang w:eastAsia="zh-CN"/>
              </w:rPr>
              <w:t>折扣</w:t>
            </w:r>
            <w:r>
              <w:rPr>
                <w:sz w:val="24"/>
                <w:szCs w:val="24"/>
                <w:highlight w:val="none"/>
              </w:rPr>
              <w:t>计算</w:t>
            </w:r>
            <w:r>
              <w:rPr>
                <w:sz w:val="24"/>
                <w:szCs w:val="24"/>
              </w:rPr>
              <w:t>工作费用形成交办函、签订具体项目委托协议，并向中标人支付该项工作费用的40%作为预付款。</w:t>
            </w:r>
          </w:p>
          <w:p w14:paraId="0404C5DB">
            <w:pPr>
              <w:pStyle w:val="7"/>
              <w:ind w:firstLine="480"/>
              <w:rPr>
                <w:rFonts w:hint="default"/>
                <w:sz w:val="24"/>
                <w:szCs w:val="24"/>
              </w:rPr>
            </w:pPr>
            <w:r>
              <w:rPr>
                <w:sz w:val="24"/>
                <w:szCs w:val="24"/>
              </w:rPr>
              <w:t>第二期支付比例60%：中标人完成受委托项目的规划调整工作，经审批部门通过，且经广州市规划和自然资源局花都区分局审查通过并出具结题函后，合同约定的应由中标人履行的所有义务已经履行完毕，结算中标人完成的成果，由采购人向财政部门申请支付具体项目委托合同剩余尾款。</w:t>
            </w:r>
          </w:p>
          <w:p w14:paraId="462715A9">
            <w:pPr>
              <w:pStyle w:val="7"/>
              <w:ind w:firstLine="480"/>
              <w:rPr>
                <w:rFonts w:hint="default"/>
                <w:sz w:val="24"/>
                <w:szCs w:val="24"/>
              </w:rPr>
            </w:pPr>
            <w:r>
              <w:rPr>
                <w:sz w:val="24"/>
                <w:szCs w:val="24"/>
              </w:rPr>
              <w:t>中标人凭以下有效文件与采购人结算：</w:t>
            </w:r>
          </w:p>
          <w:p w14:paraId="6476C996">
            <w:pPr>
              <w:pStyle w:val="7"/>
              <w:ind w:firstLine="400"/>
              <w:rPr>
                <w:rFonts w:hint="default"/>
                <w:sz w:val="24"/>
                <w:szCs w:val="24"/>
              </w:rPr>
            </w:pPr>
            <w:r>
              <w:rPr>
                <w:sz w:val="24"/>
                <w:szCs w:val="24"/>
              </w:rPr>
              <w:t>1．合同（双方签字盖章版）；</w:t>
            </w:r>
          </w:p>
          <w:p w14:paraId="3C206D7D">
            <w:pPr>
              <w:pStyle w:val="7"/>
              <w:ind w:firstLine="400"/>
              <w:rPr>
                <w:rFonts w:hint="default"/>
                <w:sz w:val="24"/>
                <w:szCs w:val="24"/>
              </w:rPr>
            </w:pPr>
            <w:r>
              <w:rPr>
                <w:sz w:val="24"/>
                <w:szCs w:val="24"/>
              </w:rPr>
              <w:t>2．中标人开具的正式发票；</w:t>
            </w:r>
          </w:p>
          <w:p w14:paraId="431520C3">
            <w:pPr>
              <w:pStyle w:val="7"/>
              <w:ind w:firstLine="400"/>
              <w:rPr>
                <w:rFonts w:hint="default"/>
                <w:sz w:val="24"/>
                <w:szCs w:val="24"/>
              </w:rPr>
            </w:pPr>
            <w:r>
              <w:rPr>
                <w:sz w:val="24"/>
                <w:szCs w:val="24"/>
              </w:rPr>
              <w:t>3．项目结题函；</w:t>
            </w:r>
          </w:p>
          <w:p w14:paraId="1C96B634">
            <w:pPr>
              <w:pStyle w:val="7"/>
              <w:ind w:firstLine="400"/>
              <w:rPr>
                <w:rFonts w:hint="default"/>
                <w:sz w:val="24"/>
                <w:szCs w:val="24"/>
              </w:rPr>
            </w:pPr>
            <w:r>
              <w:rPr>
                <w:sz w:val="24"/>
                <w:szCs w:val="24"/>
              </w:rPr>
              <w:t>4.中标通知书。</w:t>
            </w:r>
          </w:p>
          <w:p w14:paraId="5CD8A8CE">
            <w:pPr>
              <w:pStyle w:val="7"/>
              <w:ind w:firstLine="480"/>
              <w:rPr>
                <w:rFonts w:hint="default"/>
                <w:sz w:val="24"/>
                <w:szCs w:val="24"/>
              </w:rPr>
            </w:pPr>
            <w:r>
              <w:rPr>
                <w:sz w:val="24"/>
                <w:szCs w:val="24"/>
              </w:rPr>
              <w:t>因采购人使用的是财政资金，采购人在前款规定的付款时间为向政府采购支付部门提出办理财政支付申请手续的时间（不含政府财政支付部门审核的时间），在规定时间内提出支付申请手续后即视为采购人已按期支付。</w:t>
            </w:r>
          </w:p>
          <w:p w14:paraId="7ED0BE59">
            <w:pPr>
              <w:pStyle w:val="7"/>
              <w:jc w:val="center"/>
              <w:rPr>
                <w:rFonts w:hint="default"/>
                <w:sz w:val="24"/>
                <w:szCs w:val="24"/>
              </w:rPr>
            </w:pPr>
            <w:r>
              <w:rPr>
                <w:b/>
                <w:sz w:val="24"/>
                <w:szCs w:val="24"/>
              </w:rPr>
              <w:t>七、附则</w:t>
            </w:r>
          </w:p>
          <w:p w14:paraId="29236288">
            <w:pPr>
              <w:pStyle w:val="7"/>
              <w:ind w:firstLine="482"/>
              <w:rPr>
                <w:rFonts w:hint="default"/>
                <w:sz w:val="24"/>
                <w:szCs w:val="24"/>
              </w:rPr>
            </w:pPr>
            <w:r>
              <w:rPr>
                <w:b/>
                <w:sz w:val="24"/>
                <w:szCs w:val="24"/>
              </w:rPr>
              <w:t>第二十八条</w:t>
            </w:r>
            <w:r>
              <w:rPr>
                <w:sz w:val="24"/>
                <w:szCs w:val="24"/>
              </w:rPr>
              <w:t xml:space="preserve"> 本次规划成果的署名权归设计单位所有，版权归广州市花都区土地开发储备中心所有。广州市花都区土地开发储备中心有权在审查期间及审批后公开展示本次规划成果，并通过传播媒介、专业杂志、书刊或其它形式介绍、展示及评价规划成果。</w:t>
            </w:r>
          </w:p>
          <w:p w14:paraId="4D87BB2B">
            <w:pPr>
              <w:pStyle w:val="7"/>
              <w:ind w:firstLine="482"/>
              <w:rPr>
                <w:rFonts w:hint="default"/>
                <w:sz w:val="24"/>
                <w:szCs w:val="24"/>
              </w:rPr>
            </w:pPr>
            <w:r>
              <w:rPr>
                <w:b/>
                <w:sz w:val="24"/>
                <w:szCs w:val="24"/>
              </w:rPr>
              <w:t xml:space="preserve">第二十九条 </w:t>
            </w:r>
            <w:r>
              <w:rPr>
                <w:sz w:val="24"/>
                <w:szCs w:val="24"/>
              </w:rPr>
              <w:t>本次规划委托实施单位及组织单位有权根据实际需要对规划成果进行综合、优化和修改。</w:t>
            </w:r>
          </w:p>
          <w:p w14:paraId="6B245090">
            <w:pPr>
              <w:pStyle w:val="7"/>
              <w:ind w:firstLine="482"/>
              <w:rPr>
                <w:rFonts w:hint="default"/>
                <w:sz w:val="24"/>
                <w:szCs w:val="24"/>
              </w:rPr>
            </w:pPr>
            <w:r>
              <w:rPr>
                <w:b/>
                <w:sz w:val="24"/>
                <w:szCs w:val="24"/>
              </w:rPr>
              <w:t xml:space="preserve">第三十条 </w:t>
            </w:r>
            <w:r>
              <w:rPr>
                <w:sz w:val="24"/>
                <w:szCs w:val="24"/>
              </w:rPr>
              <w:t>规划成果有下列情况之一者无效：</w:t>
            </w:r>
          </w:p>
          <w:p w14:paraId="6B338C63">
            <w:pPr>
              <w:pStyle w:val="7"/>
              <w:ind w:firstLine="400"/>
              <w:rPr>
                <w:rFonts w:hint="default"/>
                <w:sz w:val="24"/>
                <w:szCs w:val="24"/>
              </w:rPr>
            </w:pPr>
            <w:r>
              <w:rPr>
                <w:sz w:val="24"/>
                <w:szCs w:val="24"/>
              </w:rPr>
              <w:t>1．提交的成果不符合本任务书规定的成果内容和格式；</w:t>
            </w:r>
          </w:p>
          <w:p w14:paraId="339D9758">
            <w:pPr>
              <w:pStyle w:val="7"/>
              <w:ind w:firstLine="400"/>
              <w:rPr>
                <w:rFonts w:hint="default"/>
                <w:sz w:val="24"/>
                <w:szCs w:val="24"/>
              </w:rPr>
            </w:pPr>
            <w:r>
              <w:rPr>
                <w:sz w:val="24"/>
                <w:szCs w:val="24"/>
              </w:rPr>
              <w:t>2．未经组织单位同意而逾期送达；</w:t>
            </w:r>
          </w:p>
          <w:p w14:paraId="3FC3DBAB">
            <w:pPr>
              <w:pStyle w:val="7"/>
              <w:ind w:firstLine="400"/>
              <w:rPr>
                <w:rFonts w:hint="default"/>
                <w:sz w:val="24"/>
                <w:szCs w:val="24"/>
              </w:rPr>
            </w:pPr>
            <w:r>
              <w:rPr>
                <w:sz w:val="24"/>
                <w:szCs w:val="24"/>
              </w:rPr>
              <w:t>3．有关交通调查数据和经济技术指标严重不实；</w:t>
            </w:r>
          </w:p>
          <w:p w14:paraId="57CEFAA6">
            <w:pPr>
              <w:pStyle w:val="7"/>
              <w:ind w:firstLine="400"/>
              <w:rPr>
                <w:rFonts w:hint="default"/>
                <w:sz w:val="24"/>
                <w:szCs w:val="24"/>
              </w:rPr>
            </w:pPr>
            <w:r>
              <w:rPr>
                <w:sz w:val="24"/>
                <w:szCs w:val="24"/>
              </w:rPr>
              <w:t>4．图纸和文字辨认不清、内容不全、粗制滥造。</w:t>
            </w:r>
          </w:p>
          <w:p w14:paraId="3A728FBE">
            <w:pPr>
              <w:pStyle w:val="7"/>
              <w:ind w:firstLine="400"/>
              <w:rPr>
                <w:rFonts w:hint="default"/>
                <w:sz w:val="24"/>
                <w:szCs w:val="24"/>
              </w:rPr>
            </w:pPr>
            <w:r>
              <w:rPr>
                <w:b/>
                <w:sz w:val="24"/>
                <w:szCs w:val="24"/>
              </w:rPr>
              <w:t xml:space="preserve">第三十一条 </w:t>
            </w:r>
            <w:r>
              <w:rPr>
                <w:sz w:val="24"/>
                <w:szCs w:val="24"/>
              </w:rPr>
              <w:t>本规划任务书的解释权归广州市花都区土地开发储备中心所有。</w:t>
            </w:r>
          </w:p>
          <w:p w14:paraId="580132E8">
            <w:pPr>
              <w:pStyle w:val="7"/>
              <w:ind w:firstLine="400"/>
              <w:rPr>
                <w:rFonts w:hint="default"/>
                <w:sz w:val="24"/>
                <w:szCs w:val="24"/>
              </w:rPr>
            </w:pPr>
            <w:r>
              <w:rPr>
                <w:sz w:val="24"/>
                <w:szCs w:val="24"/>
              </w:rPr>
              <w:t xml:space="preserve"> </w:t>
            </w:r>
          </w:p>
        </w:tc>
      </w:tr>
      <w:tr w14:paraId="51A56A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4B4EA0E">
            <w:pPr>
              <w:pStyle w:val="7"/>
              <w:rPr>
                <w:rFonts w:hint="default"/>
                <w:sz w:val="24"/>
                <w:szCs w:val="24"/>
              </w:rPr>
            </w:pPr>
            <w:r>
              <w:rPr>
                <w:sz w:val="24"/>
                <w:szCs w:val="24"/>
              </w:rPr>
              <w:t>说明</w:t>
            </w:r>
          </w:p>
        </w:tc>
        <w:tc>
          <w:tcPr>
            <w:tcW w:w="6229" w:type="dxa"/>
            <w:gridSpan w:val="2"/>
          </w:tcPr>
          <w:p w14:paraId="3B83FD9E">
            <w:pPr>
              <w:pStyle w:val="7"/>
              <w:rPr>
                <w:rFonts w:hint="default"/>
                <w:sz w:val="24"/>
                <w:szCs w:val="24"/>
              </w:rPr>
            </w:pPr>
            <w:r>
              <w:rPr>
                <w:sz w:val="24"/>
                <w:szCs w:val="24"/>
              </w:rPr>
              <w:t xml:space="preserve"> 打“★”号条款为实质性条款，若有任何一条负偏离或不满足则导致投标无效。 </w:t>
            </w:r>
            <w:r>
              <w:rPr>
                <w:sz w:val="24"/>
                <w:szCs w:val="24"/>
              </w:rPr>
              <w:br w:type="textWrapping"/>
            </w:r>
            <w:r>
              <w:rPr>
                <w:sz w:val="24"/>
                <w:szCs w:val="24"/>
              </w:rPr>
              <w:t>打“▲”号条款为重要技术参数，若有部分“▲”条款未响应或不满足，将导致其响应性评审加重扣分，但不作为无效投标条款。</w:t>
            </w:r>
          </w:p>
        </w:tc>
      </w:tr>
    </w:tbl>
    <w:p w14:paraId="51FDCF46">
      <w:pPr>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ZTE2NGJmMGRjNTQzYTczY2Y0NjU5ZGIzZGI0NDgifQ=="/>
  </w:docVars>
  <w:rsids>
    <w:rsidRoot w:val="00A84405"/>
    <w:rsid w:val="0023382E"/>
    <w:rsid w:val="004F0C79"/>
    <w:rsid w:val="008376D4"/>
    <w:rsid w:val="00857FEA"/>
    <w:rsid w:val="00A84405"/>
    <w:rsid w:val="00E15BE5"/>
    <w:rsid w:val="17CB3768"/>
    <w:rsid w:val="40D61A07"/>
    <w:rsid w:val="6588586C"/>
    <w:rsid w:val="72D3602C"/>
    <w:rsid w:val="744D7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页眉 字符"/>
    <w:basedOn w:val="6"/>
    <w:link w:val="4"/>
    <w:qFormat/>
    <w:uiPriority w:val="0"/>
    <w:rPr>
      <w:kern w:val="2"/>
      <w:sz w:val="18"/>
      <w:szCs w:val="18"/>
    </w:rPr>
  </w:style>
  <w:style w:type="character" w:customStyle="1" w:styleId="9">
    <w:name w:val="页脚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5953</Words>
  <Characters>6193</Characters>
  <Lines>46</Lines>
  <Paragraphs>12</Paragraphs>
  <TotalTime>25</TotalTime>
  <ScaleCrop>false</ScaleCrop>
  <LinksUpToDate>false</LinksUpToDate>
  <CharactersWithSpaces>6230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2026-03-26T06:40:00Z</dcterms:created>
  <dc:creator>15773</dc:creator>
  <cp:lastModifiedBy>招标代理</cp:lastModifiedBy>
  <dcterms:modified xsi:type="dcterms:W3CDTF">2026-03-27T07:51:09Z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D8B1C421E28E4D6EA858FEE72EF69D71_12</vt:lpwstr>
  </property>
  <property fmtid="{D5CDD505-2E9C-101B-9397-08002B2CF9AE}" pid="4" name="KSOTemplateDocerSaveRecord">
    <vt:lpwstr>eyJoZGlkIjoiMWY0NmY3Njg2YzM4MWJlZjU4NTg0ZTI5YjRhZTRmMzciLCJ1c2VySWQiOiIyMzQwMDg3NzQifQ==</vt:lpwstr>
  </property>
</Properties>
</file>